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0"/>
        <w:jc w:val="center"/>
        <w:rPr>
          <w:u w:val="none"/>
        </w:rPr>
      </w:pPr>
      <w:bookmarkStart w:id="0" w:name="_GoBack"/>
      <w:r>
        <w:rPr>
          <w:rStyle w:val="5"/>
          <w:rFonts w:ascii="微软雅黑" w:hAnsi="微软雅黑" w:eastAsia="微软雅黑" w:cs="微软雅黑"/>
          <w:b/>
          <w:bCs/>
          <w:i w:val="0"/>
          <w:iCs w:val="0"/>
          <w:caps w:val="0"/>
          <w:color w:val="333333"/>
          <w:spacing w:val="0"/>
          <w:sz w:val="36"/>
          <w:szCs w:val="36"/>
          <w:u w:val="none"/>
          <w:bdr w:val="none" w:color="auto" w:sz="0" w:space="0"/>
        </w:rPr>
        <w:t>山东省人民政府办公厅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0"/>
        <w:jc w:val="center"/>
        <w:rPr>
          <w:u w:val="none"/>
        </w:rPr>
      </w:pPr>
      <w:r>
        <w:rPr>
          <w:rStyle w:val="5"/>
          <w:rFonts w:hint="eastAsia" w:ascii="微软雅黑" w:hAnsi="微软雅黑" w:eastAsia="微软雅黑" w:cs="微软雅黑"/>
          <w:b/>
          <w:bCs/>
          <w:i w:val="0"/>
          <w:iCs w:val="0"/>
          <w:caps w:val="0"/>
          <w:color w:val="333333"/>
          <w:spacing w:val="0"/>
          <w:sz w:val="36"/>
          <w:szCs w:val="36"/>
          <w:u w:val="none"/>
          <w:bdr w:val="none" w:color="auto" w:sz="0" w:space="0"/>
        </w:rPr>
        <w:t>关于印发山东省“两高”建设项目碳排放指标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0"/>
        <w:jc w:val="center"/>
        <w:rPr>
          <w:u w:val="none"/>
        </w:rPr>
      </w:pPr>
      <w:r>
        <w:rPr>
          <w:rStyle w:val="5"/>
          <w:rFonts w:hint="eastAsia" w:ascii="微软雅黑" w:hAnsi="微软雅黑" w:eastAsia="微软雅黑" w:cs="微软雅黑"/>
          <w:b/>
          <w:bCs/>
          <w:i w:val="0"/>
          <w:iCs w:val="0"/>
          <w:caps w:val="0"/>
          <w:color w:val="333333"/>
          <w:spacing w:val="0"/>
          <w:sz w:val="36"/>
          <w:szCs w:val="36"/>
          <w:u w:val="none"/>
          <w:bdr w:val="none" w:color="auto" w:sz="0" w:space="0"/>
        </w:rPr>
        <w:t>收储调剂管理办法（试行）的通知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0"/>
        <w:jc w:val="center"/>
        <w:rPr>
          <w:u w:val="none"/>
        </w:rPr>
      </w:pPr>
      <w:r>
        <w:rPr>
          <w:rFonts w:hint="eastAsia" w:ascii="微软雅黑" w:hAnsi="微软雅黑" w:eastAsia="微软雅黑" w:cs="微软雅黑"/>
          <w:i w:val="0"/>
          <w:iCs w:val="0"/>
          <w:caps w:val="0"/>
          <w:color w:val="333333"/>
          <w:spacing w:val="0"/>
          <w:sz w:val="27"/>
          <w:szCs w:val="27"/>
          <w:u w:val="none"/>
          <w:bdr w:val="none" w:color="auto" w:sz="0" w:space="0"/>
        </w:rPr>
        <w:t>鲁政办字〔2022〕172号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0"/>
        <w:jc w:val="both"/>
        <w:rPr>
          <w:u w:val="none"/>
        </w:rPr>
      </w:pPr>
      <w:r>
        <w:rPr>
          <w:rFonts w:hint="eastAsia" w:ascii="微软雅黑" w:hAnsi="微软雅黑" w:eastAsia="微软雅黑" w:cs="微软雅黑"/>
          <w:i w:val="0"/>
          <w:iCs w:val="0"/>
          <w:caps w:val="0"/>
          <w:color w:val="333333"/>
          <w:spacing w:val="0"/>
          <w:sz w:val="27"/>
          <w:szCs w:val="27"/>
          <w:u w:val="none"/>
          <w:bdr w:val="none" w:color="auto" w:sz="0" w:space="0"/>
        </w:rPr>
        <w:t>各市人民政府，各县（市、区）人民政府，省政府各部门、各直属机构，各大企业，各高等院校：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420"/>
        <w:jc w:val="both"/>
        <w:rPr>
          <w:u w:val="none"/>
        </w:rPr>
      </w:pPr>
      <w:r>
        <w:rPr>
          <w:rFonts w:hint="eastAsia" w:ascii="微软雅黑" w:hAnsi="微软雅黑" w:eastAsia="微软雅黑" w:cs="微软雅黑"/>
          <w:i w:val="0"/>
          <w:iCs w:val="0"/>
          <w:caps w:val="0"/>
          <w:color w:val="333333"/>
          <w:spacing w:val="0"/>
          <w:sz w:val="27"/>
          <w:szCs w:val="27"/>
          <w:u w:val="none"/>
          <w:bdr w:val="none" w:color="auto" w:sz="0" w:space="0"/>
        </w:rPr>
        <w:t>《山东省“两高”建设项目碳排放指标收储调剂管理办法（试行）》已经省政府同意，现印发给你们，请遵照执行。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420"/>
        <w:jc w:val="both"/>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420"/>
        <w:jc w:val="right"/>
        <w:rPr>
          <w:u w:val="none"/>
        </w:rPr>
      </w:pPr>
      <w:r>
        <w:rPr>
          <w:rFonts w:hint="eastAsia" w:ascii="微软雅黑" w:hAnsi="微软雅黑" w:eastAsia="微软雅黑" w:cs="微软雅黑"/>
          <w:i w:val="0"/>
          <w:iCs w:val="0"/>
          <w:caps w:val="0"/>
          <w:color w:val="333333"/>
          <w:spacing w:val="0"/>
          <w:sz w:val="27"/>
          <w:szCs w:val="27"/>
          <w:u w:val="none"/>
          <w:bdr w:val="none" w:color="auto" w:sz="0" w:space="0"/>
        </w:rPr>
        <w:t>山东省人民政府办公厅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420"/>
        <w:jc w:val="right"/>
        <w:rPr>
          <w:u w:val="none"/>
        </w:rPr>
      </w:pPr>
      <w:r>
        <w:rPr>
          <w:rFonts w:hint="eastAsia" w:ascii="微软雅黑" w:hAnsi="微软雅黑" w:eastAsia="微软雅黑" w:cs="微软雅黑"/>
          <w:i w:val="0"/>
          <w:iCs w:val="0"/>
          <w:caps w:val="0"/>
          <w:color w:val="333333"/>
          <w:spacing w:val="0"/>
          <w:sz w:val="27"/>
          <w:szCs w:val="27"/>
          <w:u w:val="none"/>
          <w:bdr w:val="none" w:color="auto" w:sz="0" w:space="0"/>
        </w:rPr>
        <w:t>2022年12月31日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420"/>
        <w:jc w:val="left"/>
        <w:rPr>
          <w:u w:val="none"/>
        </w:rPr>
      </w:pPr>
      <w:r>
        <w:rPr>
          <w:rFonts w:hint="eastAsia" w:ascii="微软雅黑" w:hAnsi="微软雅黑" w:eastAsia="微软雅黑" w:cs="微软雅黑"/>
          <w:i w:val="0"/>
          <w:iCs w:val="0"/>
          <w:caps w:val="0"/>
          <w:color w:val="333333"/>
          <w:spacing w:val="0"/>
          <w:sz w:val="27"/>
          <w:szCs w:val="27"/>
          <w:u w:val="none"/>
          <w:bdr w:val="none" w:color="auto" w:sz="0" w:space="0"/>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420"/>
        <w:jc w:val="left"/>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0"/>
        <w:jc w:val="center"/>
        <w:rPr>
          <w:u w:val="none"/>
        </w:rPr>
      </w:pPr>
      <w:r>
        <w:rPr>
          <w:rStyle w:val="5"/>
          <w:rFonts w:hint="eastAsia" w:ascii="微软雅黑" w:hAnsi="微软雅黑" w:eastAsia="微软雅黑" w:cs="微软雅黑"/>
          <w:b/>
          <w:bCs/>
          <w:i w:val="0"/>
          <w:iCs w:val="0"/>
          <w:caps w:val="0"/>
          <w:color w:val="333333"/>
          <w:spacing w:val="0"/>
          <w:sz w:val="27"/>
          <w:szCs w:val="27"/>
          <w:u w:val="none"/>
          <w:bdr w:val="none" w:color="auto" w:sz="0" w:space="0"/>
        </w:rPr>
        <w:t>山东省“两高”建设项目碳排放指标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0"/>
        <w:jc w:val="center"/>
        <w:rPr>
          <w:u w:val="none"/>
        </w:rPr>
      </w:pPr>
      <w:r>
        <w:rPr>
          <w:rStyle w:val="5"/>
          <w:rFonts w:hint="eastAsia" w:ascii="微软雅黑" w:hAnsi="微软雅黑" w:eastAsia="微软雅黑" w:cs="微软雅黑"/>
          <w:b/>
          <w:bCs/>
          <w:i w:val="0"/>
          <w:iCs w:val="0"/>
          <w:caps w:val="0"/>
          <w:color w:val="333333"/>
          <w:spacing w:val="0"/>
          <w:sz w:val="27"/>
          <w:szCs w:val="27"/>
          <w:u w:val="none"/>
          <w:bdr w:val="none" w:color="auto" w:sz="0" w:space="0"/>
        </w:rPr>
        <w:t>收储调剂管理办法（试行）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0"/>
        <w:rPr>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420"/>
        <w:jc w:val="both"/>
        <w:rPr>
          <w:u w:val="none"/>
        </w:rPr>
      </w:pPr>
      <w:r>
        <w:rPr>
          <w:rStyle w:val="5"/>
          <w:rFonts w:hint="eastAsia" w:ascii="微软雅黑" w:hAnsi="微软雅黑" w:eastAsia="微软雅黑" w:cs="微软雅黑"/>
          <w:b/>
          <w:bCs/>
          <w:i w:val="0"/>
          <w:iCs w:val="0"/>
          <w:caps w:val="0"/>
          <w:color w:val="333333"/>
          <w:spacing w:val="0"/>
          <w:sz w:val="27"/>
          <w:szCs w:val="27"/>
          <w:u w:val="none"/>
          <w:bdr w:val="none" w:color="auto" w:sz="0" w:space="0"/>
        </w:rPr>
        <w:t>第一条</w:t>
      </w:r>
      <w:r>
        <w:rPr>
          <w:rFonts w:hint="eastAsia" w:ascii="微软雅黑" w:hAnsi="微软雅黑" w:eastAsia="微软雅黑" w:cs="微软雅黑"/>
          <w:i w:val="0"/>
          <w:iCs w:val="0"/>
          <w:caps w:val="0"/>
          <w:color w:val="333333"/>
          <w:spacing w:val="0"/>
          <w:sz w:val="27"/>
          <w:szCs w:val="27"/>
          <w:u w:val="none"/>
          <w:bdr w:val="none" w:color="auto" w:sz="0" w:space="0"/>
        </w:rPr>
        <w:t>　为强化生态环境要素保障，促进生态环境高水平保护和经济社会高质量发展，依据《国务院关于支持山东深化新旧动能转换推动绿色低碳高质量发展的意见》（国发〔2022〕18号）等文件规定，制定本办法。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420"/>
        <w:jc w:val="both"/>
        <w:rPr>
          <w:u w:val="none"/>
        </w:rPr>
      </w:pPr>
      <w:r>
        <w:rPr>
          <w:rStyle w:val="5"/>
          <w:rFonts w:hint="eastAsia" w:ascii="微软雅黑" w:hAnsi="微软雅黑" w:eastAsia="微软雅黑" w:cs="微软雅黑"/>
          <w:b/>
          <w:bCs/>
          <w:i w:val="0"/>
          <w:iCs w:val="0"/>
          <w:caps w:val="0"/>
          <w:color w:val="333333"/>
          <w:spacing w:val="0"/>
          <w:sz w:val="27"/>
          <w:szCs w:val="27"/>
          <w:u w:val="none"/>
          <w:bdr w:val="none" w:color="auto" w:sz="0" w:space="0"/>
        </w:rPr>
        <w:t>第二条</w:t>
      </w:r>
      <w:r>
        <w:rPr>
          <w:rFonts w:hint="eastAsia" w:ascii="微软雅黑" w:hAnsi="微软雅黑" w:eastAsia="微软雅黑" w:cs="微软雅黑"/>
          <w:i w:val="0"/>
          <w:iCs w:val="0"/>
          <w:caps w:val="0"/>
          <w:color w:val="333333"/>
          <w:spacing w:val="0"/>
          <w:sz w:val="27"/>
          <w:szCs w:val="27"/>
          <w:u w:val="none"/>
          <w:bdr w:val="none" w:color="auto" w:sz="0" w:space="0"/>
        </w:rPr>
        <w:t>　本办法适用于山东省行政区域内“两高”建设项目碳排放指标的省级收储和调剂。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420"/>
        <w:jc w:val="both"/>
        <w:rPr>
          <w:u w:val="none"/>
        </w:rPr>
      </w:pPr>
      <w:r>
        <w:rPr>
          <w:rStyle w:val="5"/>
          <w:rFonts w:hint="eastAsia" w:ascii="微软雅黑" w:hAnsi="微软雅黑" w:eastAsia="微软雅黑" w:cs="微软雅黑"/>
          <w:b/>
          <w:bCs/>
          <w:i w:val="0"/>
          <w:iCs w:val="0"/>
          <w:caps w:val="0"/>
          <w:color w:val="333333"/>
          <w:spacing w:val="0"/>
          <w:sz w:val="27"/>
          <w:szCs w:val="27"/>
          <w:u w:val="none"/>
          <w:bdr w:val="none" w:color="auto" w:sz="0" w:space="0"/>
        </w:rPr>
        <w:t>第三条</w:t>
      </w:r>
      <w:r>
        <w:rPr>
          <w:rFonts w:hint="eastAsia" w:ascii="微软雅黑" w:hAnsi="微软雅黑" w:eastAsia="微软雅黑" w:cs="微软雅黑"/>
          <w:i w:val="0"/>
          <w:iCs w:val="0"/>
          <w:caps w:val="0"/>
          <w:color w:val="333333"/>
          <w:spacing w:val="0"/>
          <w:sz w:val="27"/>
          <w:szCs w:val="27"/>
          <w:u w:val="none"/>
          <w:bdr w:val="none" w:color="auto" w:sz="0" w:space="0"/>
        </w:rPr>
        <w:t>　本办法所称碳排放指标，是指通过产能转移、企业关停转产、淘汰落后产能、压减过剩产能、核电替代化石能源等途径减少的碳排放量。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420"/>
        <w:jc w:val="both"/>
        <w:rPr>
          <w:u w:val="none"/>
        </w:rPr>
      </w:pPr>
      <w:r>
        <w:rPr>
          <w:rStyle w:val="5"/>
          <w:rFonts w:hint="eastAsia" w:ascii="微软雅黑" w:hAnsi="微软雅黑" w:eastAsia="微软雅黑" w:cs="微软雅黑"/>
          <w:b/>
          <w:bCs/>
          <w:i w:val="0"/>
          <w:iCs w:val="0"/>
          <w:caps w:val="0"/>
          <w:color w:val="333333"/>
          <w:spacing w:val="0"/>
          <w:sz w:val="27"/>
          <w:szCs w:val="27"/>
          <w:u w:val="none"/>
          <w:bdr w:val="none" w:color="auto" w:sz="0" w:space="0"/>
        </w:rPr>
        <w:t>第四条</w:t>
      </w:r>
      <w:r>
        <w:rPr>
          <w:rFonts w:hint="eastAsia" w:ascii="微软雅黑" w:hAnsi="微软雅黑" w:eastAsia="微软雅黑" w:cs="微软雅黑"/>
          <w:i w:val="0"/>
          <w:iCs w:val="0"/>
          <w:caps w:val="0"/>
          <w:color w:val="333333"/>
          <w:spacing w:val="0"/>
          <w:sz w:val="27"/>
          <w:szCs w:val="27"/>
          <w:u w:val="none"/>
          <w:bdr w:val="none" w:color="auto" w:sz="0" w:space="0"/>
        </w:rPr>
        <w:t>　碳排放指标收储和调剂遵循政府主导、统筹资源、精准配置、效率优先原则。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420"/>
        <w:jc w:val="both"/>
        <w:rPr>
          <w:u w:val="none"/>
        </w:rPr>
      </w:pPr>
      <w:r>
        <w:rPr>
          <w:rStyle w:val="5"/>
          <w:rFonts w:hint="eastAsia" w:ascii="微软雅黑" w:hAnsi="微软雅黑" w:eastAsia="微软雅黑" w:cs="微软雅黑"/>
          <w:b/>
          <w:bCs/>
          <w:i w:val="0"/>
          <w:iCs w:val="0"/>
          <w:caps w:val="0"/>
          <w:color w:val="333333"/>
          <w:spacing w:val="0"/>
          <w:sz w:val="27"/>
          <w:szCs w:val="27"/>
          <w:u w:val="none"/>
          <w:bdr w:val="none" w:color="auto" w:sz="0" w:space="0"/>
        </w:rPr>
        <w:t>第五条</w:t>
      </w:r>
      <w:r>
        <w:rPr>
          <w:rFonts w:hint="eastAsia" w:ascii="微软雅黑" w:hAnsi="微软雅黑" w:eastAsia="微软雅黑" w:cs="微软雅黑"/>
          <w:i w:val="0"/>
          <w:iCs w:val="0"/>
          <w:caps w:val="0"/>
          <w:color w:val="333333"/>
          <w:spacing w:val="0"/>
          <w:sz w:val="27"/>
          <w:szCs w:val="27"/>
          <w:u w:val="none"/>
          <w:bdr w:val="none" w:color="auto" w:sz="0" w:space="0"/>
        </w:rPr>
        <w:t>　全省核电发电增量替代煤电形成的碳排放指标，省级收储80%，其余20%由项目所在设区的市收储。产能跨设区的市整合或向省外转移形成的碳排放指标，省级收储60%，其余40%由项目所在设区的市收储。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420"/>
        <w:jc w:val="both"/>
        <w:rPr>
          <w:u w:val="none"/>
        </w:rPr>
      </w:pPr>
      <w:r>
        <w:rPr>
          <w:rStyle w:val="5"/>
          <w:rFonts w:hint="eastAsia" w:ascii="微软雅黑" w:hAnsi="微软雅黑" w:eastAsia="微软雅黑" w:cs="微软雅黑"/>
          <w:b/>
          <w:bCs/>
          <w:i w:val="0"/>
          <w:iCs w:val="0"/>
          <w:caps w:val="0"/>
          <w:color w:val="333333"/>
          <w:spacing w:val="0"/>
          <w:sz w:val="27"/>
          <w:szCs w:val="27"/>
          <w:u w:val="none"/>
          <w:bdr w:val="none" w:color="auto" w:sz="0" w:space="0"/>
        </w:rPr>
        <w:t>第六条</w:t>
      </w:r>
      <w:r>
        <w:rPr>
          <w:rFonts w:hint="eastAsia" w:ascii="微软雅黑" w:hAnsi="微软雅黑" w:eastAsia="微软雅黑" w:cs="微软雅黑"/>
          <w:i w:val="0"/>
          <w:iCs w:val="0"/>
          <w:caps w:val="0"/>
          <w:color w:val="333333"/>
          <w:spacing w:val="0"/>
          <w:sz w:val="27"/>
          <w:szCs w:val="27"/>
          <w:u w:val="none"/>
          <w:bdr w:val="none" w:color="auto" w:sz="0" w:space="0"/>
        </w:rPr>
        <w:t>　省级重点项目以及关系全省生产力布局、经济社会发展的重点项目，可调剂使用省级收储的碳排放指标。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420"/>
        <w:jc w:val="both"/>
        <w:rPr>
          <w:u w:val="none"/>
        </w:rPr>
      </w:pPr>
      <w:r>
        <w:rPr>
          <w:rStyle w:val="5"/>
          <w:rFonts w:hint="eastAsia" w:ascii="微软雅黑" w:hAnsi="微软雅黑" w:eastAsia="微软雅黑" w:cs="微软雅黑"/>
          <w:b/>
          <w:bCs/>
          <w:i w:val="0"/>
          <w:iCs w:val="0"/>
          <w:caps w:val="0"/>
          <w:color w:val="333333"/>
          <w:spacing w:val="0"/>
          <w:sz w:val="27"/>
          <w:szCs w:val="27"/>
          <w:u w:val="none"/>
          <w:bdr w:val="none" w:color="auto" w:sz="0" w:space="0"/>
        </w:rPr>
        <w:t>第七条</w:t>
      </w:r>
      <w:r>
        <w:rPr>
          <w:rFonts w:hint="eastAsia" w:ascii="微软雅黑" w:hAnsi="微软雅黑" w:eastAsia="微软雅黑" w:cs="微软雅黑"/>
          <w:i w:val="0"/>
          <w:iCs w:val="0"/>
          <w:caps w:val="0"/>
          <w:color w:val="333333"/>
          <w:spacing w:val="0"/>
          <w:sz w:val="27"/>
          <w:szCs w:val="27"/>
          <w:u w:val="none"/>
          <w:bdr w:val="none" w:color="auto" w:sz="0" w:space="0"/>
        </w:rPr>
        <w:t>　省级收储的碳排放指标按以下程序调剂使用：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420"/>
        <w:jc w:val="both"/>
        <w:rPr>
          <w:u w:val="none"/>
        </w:rPr>
      </w:pPr>
      <w:r>
        <w:rPr>
          <w:rFonts w:hint="eastAsia" w:ascii="微软雅黑" w:hAnsi="微软雅黑" w:eastAsia="微软雅黑" w:cs="微软雅黑"/>
          <w:i w:val="0"/>
          <w:iCs w:val="0"/>
          <w:caps w:val="0"/>
          <w:color w:val="333333"/>
          <w:spacing w:val="0"/>
          <w:sz w:val="27"/>
          <w:szCs w:val="27"/>
          <w:u w:val="none"/>
          <w:bdr w:val="none" w:color="auto" w:sz="0" w:space="0"/>
        </w:rPr>
        <w:t>（一）提出申请。保障省重点项目碳排放指标存在缺口的设区的市，按照一事一议原则，由市生态环境局向省生态环境厅提出碳排放指标调剂申请，并同时报送省级重点项目证明、碳排放指标缺口情况说明等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420"/>
        <w:jc w:val="both"/>
        <w:rPr>
          <w:u w:val="none"/>
        </w:rPr>
      </w:pPr>
      <w:r>
        <w:rPr>
          <w:rFonts w:hint="eastAsia" w:ascii="微软雅黑" w:hAnsi="微软雅黑" w:eastAsia="微软雅黑" w:cs="微软雅黑"/>
          <w:i w:val="0"/>
          <w:iCs w:val="0"/>
          <w:caps w:val="0"/>
          <w:color w:val="333333"/>
          <w:spacing w:val="0"/>
          <w:sz w:val="27"/>
          <w:szCs w:val="27"/>
          <w:u w:val="none"/>
          <w:bdr w:val="none" w:color="auto" w:sz="0" w:space="0"/>
        </w:rPr>
        <w:t>（二）专家评审。省生态环境厅委托第三方评审机构，对市生态环境局提交的碳排放指标调剂申请和相关材料的真实性、准确性、科学性进行核实评审，形成评审意见；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420"/>
        <w:jc w:val="both"/>
        <w:rPr>
          <w:u w:val="none"/>
        </w:rPr>
      </w:pPr>
      <w:r>
        <w:rPr>
          <w:rFonts w:hint="eastAsia" w:ascii="微软雅黑" w:hAnsi="微软雅黑" w:eastAsia="微软雅黑" w:cs="微软雅黑"/>
          <w:i w:val="0"/>
          <w:iCs w:val="0"/>
          <w:caps w:val="0"/>
          <w:color w:val="333333"/>
          <w:spacing w:val="0"/>
          <w:sz w:val="27"/>
          <w:szCs w:val="27"/>
          <w:u w:val="none"/>
          <w:bdr w:val="none" w:color="auto" w:sz="0" w:space="0"/>
        </w:rPr>
        <w:t>（三）审核确定。使用省级统筹碳排放指标300万吨及以下的，由省生态环境厅根据第三方评审机构评审意见研究确定后下达市生态环境局；使用碳排放指标300万吨以上的，由省生态环境厅报请省政府同意后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420"/>
        <w:jc w:val="both"/>
        <w:rPr>
          <w:u w:val="none"/>
        </w:rPr>
      </w:pPr>
      <w:r>
        <w:rPr>
          <w:rStyle w:val="5"/>
          <w:rFonts w:hint="eastAsia" w:ascii="微软雅黑" w:hAnsi="微软雅黑" w:eastAsia="微软雅黑" w:cs="微软雅黑"/>
          <w:b/>
          <w:bCs/>
          <w:i w:val="0"/>
          <w:iCs w:val="0"/>
          <w:caps w:val="0"/>
          <w:color w:val="333333"/>
          <w:spacing w:val="0"/>
          <w:sz w:val="27"/>
          <w:szCs w:val="27"/>
          <w:u w:val="none"/>
          <w:bdr w:val="none" w:color="auto" w:sz="0" w:space="0"/>
        </w:rPr>
        <w:t>第八条</w:t>
      </w:r>
      <w:r>
        <w:rPr>
          <w:rFonts w:hint="eastAsia" w:ascii="微软雅黑" w:hAnsi="微软雅黑" w:eastAsia="微软雅黑" w:cs="微软雅黑"/>
          <w:i w:val="0"/>
          <w:iCs w:val="0"/>
          <w:caps w:val="0"/>
          <w:color w:val="333333"/>
          <w:spacing w:val="0"/>
          <w:sz w:val="27"/>
          <w:szCs w:val="27"/>
          <w:u w:val="none"/>
          <w:bdr w:val="none" w:color="auto" w:sz="0" w:space="0"/>
        </w:rPr>
        <w:t>　省级收储碳排放指标采用依申请免费使用的方式，依据国家相关政策适时引入有偿调剂方式。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420"/>
        <w:jc w:val="both"/>
        <w:rPr>
          <w:u w:val="none"/>
        </w:rPr>
      </w:pPr>
      <w:r>
        <w:rPr>
          <w:rStyle w:val="5"/>
          <w:rFonts w:hint="eastAsia" w:ascii="微软雅黑" w:hAnsi="微软雅黑" w:eastAsia="微软雅黑" w:cs="微软雅黑"/>
          <w:b/>
          <w:bCs/>
          <w:i w:val="0"/>
          <w:iCs w:val="0"/>
          <w:caps w:val="0"/>
          <w:color w:val="333333"/>
          <w:spacing w:val="0"/>
          <w:sz w:val="27"/>
          <w:szCs w:val="27"/>
          <w:u w:val="none"/>
          <w:bdr w:val="none" w:color="auto" w:sz="0" w:space="0"/>
        </w:rPr>
        <w:t>第九条</w:t>
      </w:r>
      <w:r>
        <w:rPr>
          <w:rFonts w:hint="eastAsia" w:ascii="微软雅黑" w:hAnsi="微软雅黑" w:eastAsia="微软雅黑" w:cs="微软雅黑"/>
          <w:i w:val="0"/>
          <w:iCs w:val="0"/>
          <w:caps w:val="0"/>
          <w:color w:val="333333"/>
          <w:spacing w:val="0"/>
          <w:sz w:val="27"/>
          <w:szCs w:val="27"/>
          <w:u w:val="none"/>
          <w:bdr w:val="none" w:color="auto" w:sz="0" w:space="0"/>
        </w:rPr>
        <w:t>　设区的市行政区域内通过企业关停转产、淘汰落后产能、压减过剩产能等形成的碳排放指标，由各设区的市收储调剂。其他替代方式形成的碳排放指标，由省市合理确定收储比例。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firstLine="420"/>
        <w:jc w:val="both"/>
        <w:rPr>
          <w:u w:val="none"/>
        </w:rPr>
      </w:pPr>
      <w:r>
        <w:rPr>
          <w:rStyle w:val="5"/>
          <w:rFonts w:hint="eastAsia" w:ascii="微软雅黑" w:hAnsi="微软雅黑" w:eastAsia="微软雅黑" w:cs="微软雅黑"/>
          <w:b/>
          <w:bCs/>
          <w:i w:val="0"/>
          <w:iCs w:val="0"/>
          <w:caps w:val="0"/>
          <w:color w:val="333333"/>
          <w:spacing w:val="0"/>
          <w:sz w:val="27"/>
          <w:szCs w:val="27"/>
          <w:u w:val="none"/>
          <w:bdr w:val="none" w:color="auto" w:sz="0" w:space="0"/>
        </w:rPr>
        <w:t>第十条</w:t>
      </w:r>
      <w:r>
        <w:rPr>
          <w:rFonts w:hint="eastAsia" w:ascii="微软雅黑" w:hAnsi="微软雅黑" w:eastAsia="微软雅黑" w:cs="微软雅黑"/>
          <w:i w:val="0"/>
          <w:iCs w:val="0"/>
          <w:caps w:val="0"/>
          <w:color w:val="333333"/>
          <w:spacing w:val="0"/>
          <w:sz w:val="27"/>
          <w:szCs w:val="27"/>
          <w:u w:val="none"/>
          <w:bdr w:val="none" w:color="auto" w:sz="0" w:space="0"/>
        </w:rPr>
        <w:t>　本办法自印发之日起施行。法律法规规章和上级政策对碳排放指标收储调剂另有规定的，从其规定。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hanging="360"/>
        <w:rPr>
          <w:rFonts w:ascii="微软雅黑" w:hAnsi="微软雅黑" w:eastAsia="微软雅黑" w:cs="微软雅黑"/>
          <w:sz w:val="24"/>
          <w:szCs w:val="24"/>
          <w:u w:val="none"/>
        </w:rPr>
      </w:pPr>
      <w:r>
        <w:rPr>
          <w:rFonts w:hint="eastAsia" w:ascii="微软雅黑" w:hAnsi="微软雅黑" w:eastAsia="微软雅黑" w:cs="微软雅黑"/>
          <w:i w:val="0"/>
          <w:iCs w:val="0"/>
          <w:caps w:val="0"/>
          <w:color w:val="404040"/>
          <w:spacing w:val="0"/>
          <w:sz w:val="24"/>
          <w:szCs w:val="24"/>
          <w:u w:val="none"/>
          <w:bdr w:val="none" w:color="auto" w:sz="0" w:space="0"/>
        </w:rPr>
        <w:fldChar w:fldCharType="begin"/>
      </w:r>
      <w:r>
        <w:rPr>
          <w:rFonts w:hint="eastAsia" w:ascii="微软雅黑" w:hAnsi="微软雅黑" w:eastAsia="微软雅黑" w:cs="微软雅黑"/>
          <w:i w:val="0"/>
          <w:iCs w:val="0"/>
          <w:caps w:val="0"/>
          <w:color w:val="404040"/>
          <w:spacing w:val="0"/>
          <w:sz w:val="24"/>
          <w:szCs w:val="24"/>
          <w:u w:val="none"/>
          <w:bdr w:val="none" w:color="auto" w:sz="0" w:space="0"/>
        </w:rPr>
        <w:instrText xml:space="preserve"> HYPERLINK "http://www.shandong.gov.cn/art/2023/1/3/&lt;!--%E5%9B%9E%E5%BA%94%E9%93%BE%E6%8E%A5--&gt;" \t "http://www.shandong.gov.cn/art/2023/1/3/_blank" </w:instrText>
      </w:r>
      <w:r>
        <w:rPr>
          <w:rFonts w:hint="eastAsia" w:ascii="微软雅黑" w:hAnsi="微软雅黑" w:eastAsia="微软雅黑" w:cs="微软雅黑"/>
          <w:i w:val="0"/>
          <w:iCs w:val="0"/>
          <w:caps w:val="0"/>
          <w:color w:val="404040"/>
          <w:spacing w:val="0"/>
          <w:sz w:val="24"/>
          <w:szCs w:val="24"/>
          <w:u w:val="none"/>
          <w:bdr w:val="none" w:color="auto" w:sz="0" w:space="0"/>
        </w:rPr>
        <w:fldChar w:fldCharType="separate"/>
      </w:r>
      <w:r>
        <w:rPr>
          <w:rFonts w:hint="eastAsia" w:ascii="微软雅黑" w:hAnsi="微软雅黑" w:eastAsia="微软雅黑" w:cs="微软雅黑"/>
          <w:i w:val="0"/>
          <w:iCs w:val="0"/>
          <w:caps w:val="0"/>
          <w:color w:val="404040"/>
          <w:spacing w:val="0"/>
          <w:sz w:val="24"/>
          <w:szCs w:val="24"/>
          <w:u w:val="none"/>
          <w:bdr w:val="none" w:color="auto" w:sz="0" w:space="0"/>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hanging="36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404040"/>
          <w:spacing w:val="0"/>
          <w:sz w:val="24"/>
          <w:szCs w:val="24"/>
          <w:u w:val="none"/>
          <w:bdr w:val="none" w:color="auto" w:sz="0" w:space="0"/>
        </w:rPr>
        <w:fldChar w:fldCharType="begin"/>
      </w:r>
      <w:r>
        <w:rPr>
          <w:rFonts w:hint="eastAsia" w:ascii="微软雅黑" w:hAnsi="微软雅黑" w:eastAsia="微软雅黑" w:cs="微软雅黑"/>
          <w:i w:val="0"/>
          <w:iCs w:val="0"/>
          <w:caps w:val="0"/>
          <w:color w:val="404040"/>
          <w:spacing w:val="0"/>
          <w:sz w:val="24"/>
          <w:szCs w:val="24"/>
          <w:u w:val="none"/>
          <w:bdr w:val="none" w:color="auto" w:sz="0" w:space="0"/>
        </w:rPr>
        <w:instrText xml:space="preserve"> HYPERLINK "http://www.shandong.gov.cn/art/2023/1/3/&lt;!--%E5%9B%BE%E8%A1%A8%E9%93%BE%E6%8E%A5--&gt;" \t "http://www.shandong.gov.cn/art/2023/1/3/_blank" </w:instrText>
      </w:r>
      <w:r>
        <w:rPr>
          <w:rFonts w:hint="eastAsia" w:ascii="微软雅黑" w:hAnsi="微软雅黑" w:eastAsia="微软雅黑" w:cs="微软雅黑"/>
          <w:i w:val="0"/>
          <w:iCs w:val="0"/>
          <w:caps w:val="0"/>
          <w:color w:val="404040"/>
          <w:spacing w:val="0"/>
          <w:sz w:val="24"/>
          <w:szCs w:val="24"/>
          <w:u w:val="none"/>
          <w:bdr w:val="none" w:color="auto" w:sz="0" w:space="0"/>
        </w:rPr>
        <w:fldChar w:fldCharType="separate"/>
      </w:r>
      <w:r>
        <w:rPr>
          <w:rFonts w:hint="eastAsia" w:ascii="微软雅黑" w:hAnsi="微软雅黑" w:eastAsia="微软雅黑" w:cs="微软雅黑"/>
          <w:i w:val="0"/>
          <w:iCs w:val="0"/>
          <w:caps w:val="0"/>
          <w:color w:val="404040"/>
          <w:spacing w:val="0"/>
          <w:sz w:val="24"/>
          <w:szCs w:val="24"/>
          <w:u w:val="none"/>
          <w:bdr w:val="none" w:color="auto" w:sz="0" w:space="0"/>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hanging="36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404040"/>
          <w:spacing w:val="0"/>
          <w:sz w:val="24"/>
          <w:szCs w:val="24"/>
          <w:u w:val="none"/>
          <w:bdr w:val="none" w:color="auto" w:sz="0" w:space="0"/>
        </w:rPr>
        <w:fldChar w:fldCharType="begin"/>
      </w:r>
      <w:r>
        <w:rPr>
          <w:rFonts w:hint="eastAsia" w:ascii="微软雅黑" w:hAnsi="微软雅黑" w:eastAsia="微软雅黑" w:cs="微软雅黑"/>
          <w:i w:val="0"/>
          <w:iCs w:val="0"/>
          <w:caps w:val="0"/>
          <w:color w:val="404040"/>
          <w:spacing w:val="0"/>
          <w:sz w:val="24"/>
          <w:szCs w:val="24"/>
          <w:u w:val="none"/>
          <w:bdr w:val="none" w:color="auto" w:sz="0" w:space="0"/>
        </w:rPr>
        <w:instrText xml:space="preserve"> HYPERLINK "http://www.shandong.gov.cn/art/2023/1/3/&lt;!--%E8%A7%86%E9%A2%91%E9%93%BE%E6%8E%A5--&gt;" \t "http://www.shandong.gov.cn/art/2023/1/3/_blank" </w:instrText>
      </w:r>
      <w:r>
        <w:rPr>
          <w:rFonts w:hint="eastAsia" w:ascii="微软雅黑" w:hAnsi="微软雅黑" w:eastAsia="微软雅黑" w:cs="微软雅黑"/>
          <w:i w:val="0"/>
          <w:iCs w:val="0"/>
          <w:caps w:val="0"/>
          <w:color w:val="404040"/>
          <w:spacing w:val="0"/>
          <w:sz w:val="24"/>
          <w:szCs w:val="24"/>
          <w:u w:val="none"/>
          <w:bdr w:val="none" w:color="auto" w:sz="0" w:space="0"/>
        </w:rPr>
        <w:fldChar w:fldCharType="separate"/>
      </w:r>
      <w:r>
        <w:rPr>
          <w:rFonts w:hint="eastAsia" w:ascii="微软雅黑" w:hAnsi="微软雅黑" w:eastAsia="微软雅黑" w:cs="微软雅黑"/>
          <w:i w:val="0"/>
          <w:iCs w:val="0"/>
          <w:caps w:val="0"/>
          <w:color w:val="404040"/>
          <w:spacing w:val="0"/>
          <w:sz w:val="24"/>
          <w:szCs w:val="24"/>
          <w:u w:val="none"/>
          <w:bdr w:val="none" w:color="auto" w:sz="0" w:space="0"/>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hanging="36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404040"/>
          <w:spacing w:val="0"/>
          <w:sz w:val="24"/>
          <w:szCs w:val="24"/>
          <w:u w:val="none"/>
          <w:bdr w:val="none" w:color="auto" w:sz="0" w:space="0"/>
        </w:rPr>
        <w:fldChar w:fldCharType="begin"/>
      </w:r>
      <w:r>
        <w:rPr>
          <w:rFonts w:hint="eastAsia" w:ascii="微软雅黑" w:hAnsi="微软雅黑" w:eastAsia="微软雅黑" w:cs="微软雅黑"/>
          <w:i w:val="0"/>
          <w:iCs w:val="0"/>
          <w:caps w:val="0"/>
          <w:color w:val="404040"/>
          <w:spacing w:val="0"/>
          <w:sz w:val="24"/>
          <w:szCs w:val="24"/>
          <w:u w:val="none"/>
          <w:bdr w:val="none" w:color="auto" w:sz="0" w:space="0"/>
        </w:rPr>
        <w:instrText xml:space="preserve"> HYPERLINK "http://www.shandong.gov.cn/art/2023/1/3/&lt;!--%E6%96%B0%E9%97%BB%E5%8F%91%E5%B8%83%E8%A7%A3%E8%AF%BB%E9%93%BE%E6%8E%A5--&gt;" \t "http://www.shandong.gov.cn/art/2023/1/3/_blank" </w:instrText>
      </w:r>
      <w:r>
        <w:rPr>
          <w:rFonts w:hint="eastAsia" w:ascii="微软雅黑" w:hAnsi="微软雅黑" w:eastAsia="微软雅黑" w:cs="微软雅黑"/>
          <w:i w:val="0"/>
          <w:iCs w:val="0"/>
          <w:caps w:val="0"/>
          <w:color w:val="404040"/>
          <w:spacing w:val="0"/>
          <w:sz w:val="24"/>
          <w:szCs w:val="24"/>
          <w:u w:val="none"/>
          <w:bdr w:val="none" w:color="auto" w:sz="0" w:space="0"/>
        </w:rPr>
        <w:fldChar w:fldCharType="separate"/>
      </w:r>
      <w:r>
        <w:rPr>
          <w:rFonts w:hint="eastAsia" w:ascii="微软雅黑" w:hAnsi="微软雅黑" w:eastAsia="微软雅黑" w:cs="微软雅黑"/>
          <w:i w:val="0"/>
          <w:iCs w:val="0"/>
          <w:caps w:val="0"/>
          <w:color w:val="404040"/>
          <w:spacing w:val="0"/>
          <w:sz w:val="24"/>
          <w:szCs w:val="24"/>
          <w:u w:val="none"/>
          <w:bdr w:val="none" w:color="auto" w:sz="0" w:space="0"/>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hanging="360"/>
        <w:rPr>
          <w:rFonts w:hint="eastAsia" w:ascii="微软雅黑" w:hAnsi="微软雅黑" w:eastAsia="微软雅黑" w:cs="微软雅黑"/>
          <w:sz w:val="24"/>
          <w:szCs w:val="24"/>
          <w:u w:val="none"/>
        </w:rPr>
      </w:pPr>
      <w:r>
        <w:rPr>
          <w:rFonts w:hint="eastAsia" w:ascii="微软雅黑" w:hAnsi="微软雅黑" w:eastAsia="微软雅黑" w:cs="微软雅黑"/>
          <w:i w:val="0"/>
          <w:iCs w:val="0"/>
          <w:caps w:val="0"/>
          <w:color w:val="404040"/>
          <w:spacing w:val="0"/>
          <w:sz w:val="24"/>
          <w:szCs w:val="24"/>
          <w:u w:val="none"/>
          <w:bdr w:val="none" w:color="auto" w:sz="0" w:space="0"/>
        </w:rPr>
        <w:fldChar w:fldCharType="begin"/>
      </w:r>
      <w:r>
        <w:rPr>
          <w:rFonts w:hint="eastAsia" w:ascii="微软雅黑" w:hAnsi="微软雅黑" w:eastAsia="微软雅黑" w:cs="微软雅黑"/>
          <w:i w:val="0"/>
          <w:iCs w:val="0"/>
          <w:caps w:val="0"/>
          <w:color w:val="404040"/>
          <w:spacing w:val="0"/>
          <w:sz w:val="24"/>
          <w:szCs w:val="24"/>
          <w:u w:val="none"/>
          <w:bdr w:val="none" w:color="auto" w:sz="0" w:space="0"/>
        </w:rPr>
        <w:instrText xml:space="preserve"> HYPERLINK "http://www.shandong.gov.cn/art/2023/1/3/&lt;!--%E8%A7%A3%E8%AF%BB%E9%93%BE%E6%8E%A5--&gt;" \t "http://www.shandong.gov.cn/art/2023/1/3/_blank" </w:instrText>
      </w:r>
      <w:r>
        <w:rPr>
          <w:rFonts w:hint="eastAsia" w:ascii="微软雅黑" w:hAnsi="微软雅黑" w:eastAsia="微软雅黑" w:cs="微软雅黑"/>
          <w:i w:val="0"/>
          <w:iCs w:val="0"/>
          <w:caps w:val="0"/>
          <w:color w:val="404040"/>
          <w:spacing w:val="0"/>
          <w:sz w:val="24"/>
          <w:szCs w:val="24"/>
          <w:u w:val="none"/>
          <w:bdr w:val="none" w:color="auto" w:sz="0" w:space="0"/>
        </w:rPr>
        <w:fldChar w:fldCharType="separate"/>
      </w:r>
      <w:r>
        <w:rPr>
          <w:rFonts w:hint="eastAsia" w:ascii="微软雅黑" w:hAnsi="微软雅黑" w:eastAsia="微软雅黑" w:cs="微软雅黑"/>
          <w:i w:val="0"/>
          <w:iCs w:val="0"/>
          <w:caps w:val="0"/>
          <w:color w:val="404040"/>
          <w:spacing w:val="0"/>
          <w:sz w:val="24"/>
          <w:szCs w:val="24"/>
          <w:u w:val="none"/>
          <w:bdr w:val="none" w:color="auto" w:sz="0" w:space="0"/>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rFonts w:hint="eastAsia" w:ascii="微软雅黑" w:hAnsi="微软雅黑" w:eastAsia="微软雅黑" w:cs="微软雅黑"/>
          <w:i w:val="0"/>
          <w:iCs w:val="0"/>
          <w:caps w:val="0"/>
          <w:color w:val="4078BE"/>
          <w:spacing w:val="0"/>
          <w:sz w:val="21"/>
          <w:szCs w:val="21"/>
          <w:u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1EBF28"/>
    <w:multiLevelType w:val="multilevel"/>
    <w:tmpl w:val="DA1EBF2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MDYyYTJhN2ZmMTM0MDNhMWM2ODQ0MzNhNDk2NTcifQ=="/>
  </w:docVars>
  <w:rsids>
    <w:rsidRoot w:val="30D101FC"/>
    <w:rsid w:val="30D10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2023-10-20T01:45:00Z</dcterms:created>
  <dc:creator>Administrator</dc:creator>
  <cp:lastModifiedBy>Administrator</cp:lastModifiedBy>
  <dcterms:modified xsi:type="dcterms:W3CDTF">2023-10-20T01:46:24Z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0FF862988FC8407C8448C51288BE7522_11</vt:lpwstr>
  </property>
</Properties>
</file>