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300" w:afterAutospacing="0" w:line="17" w:lineRule="atLeast"/>
        <w:ind w:left="0" w:right="0"/>
        <w:jc w:val="center"/>
        <w:rPr>
          <w:sz w:val="45"/>
          <w:szCs w:val="45"/>
          <w:u w:val="none"/>
        </w:rPr>
      </w:pPr>
      <w:bookmarkStart w:id="0" w:name="_GoBack"/>
      <w:r>
        <w:rPr>
          <w:i w:val="0"/>
          <w:iCs w:val="0"/>
          <w:caps w:val="0"/>
          <w:color w:val="333333"/>
          <w:spacing w:val="0"/>
          <w:sz w:val="45"/>
          <w:szCs w:val="45"/>
          <w:u w:val="none"/>
          <w:bdr w:val="none" w:color="auto" w:sz="0" w:space="0"/>
          <w:shd w:val="clear" w:fill="FFFFFF"/>
        </w:rPr>
        <w:t>交通运输部办公厅关于印发《公路工程施工分包负面清单（2024年版）》的通知</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0"/>
        <w:jc w:val="center"/>
        <w:rPr>
          <w:rFonts w:ascii="微软雅黑" w:hAnsi="微软雅黑" w:eastAsia="微软雅黑" w:cs="微软雅黑"/>
          <w:i w:val="0"/>
          <w:iCs w:val="0"/>
          <w:caps w:val="0"/>
          <w:color w:val="333333"/>
          <w:spacing w:val="0"/>
          <w:sz w:val="54"/>
          <w:szCs w:val="54"/>
          <w:u w:val="none"/>
        </w:rPr>
      </w:pPr>
      <w:r>
        <w:rPr>
          <w:rFonts w:ascii="楷体" w:hAnsi="楷体" w:eastAsia="楷体" w:cs="楷体"/>
          <w:i w:val="0"/>
          <w:iCs w:val="0"/>
          <w:caps w:val="0"/>
          <w:color w:val="333333"/>
          <w:spacing w:val="0"/>
          <w:sz w:val="24"/>
          <w:szCs w:val="24"/>
          <w:u w:val="none"/>
          <w:bdr w:val="none" w:color="auto" w:sz="0" w:space="0"/>
          <w:shd w:val="clear" w:fill="FFFFFF"/>
        </w:rPr>
        <w:t>交办公路〔2024〕6号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各省、自治区、直辖市、新疆生产建设兵团交通运输厅（局、委）：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为落实《公路工程施工分包管理办法》等有关规定，经交通运输部同意，现将《公路工程施工分包负面清单（2024年版）》印发给你们，请认真抓好落实。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right"/>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交通运输部办公厅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jc w:val="right"/>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2024年2月20日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center"/>
        <w:rPr>
          <w:rFonts w:hint="eastAsia" w:ascii="微软雅黑" w:hAnsi="微软雅黑" w:eastAsia="微软雅黑" w:cs="微软雅黑"/>
          <w:i w:val="0"/>
          <w:iCs w:val="0"/>
          <w:caps w:val="0"/>
          <w:color w:val="444444"/>
          <w:spacing w:val="0"/>
          <w:sz w:val="21"/>
          <w:szCs w:val="21"/>
          <w:u w:val="none"/>
        </w:rPr>
      </w:pPr>
      <w:r>
        <w:rPr>
          <w:rStyle w:val="7"/>
          <w:rFonts w:hint="eastAsia" w:ascii="宋体" w:hAnsi="宋体" w:eastAsia="宋体" w:cs="宋体"/>
          <w:b/>
          <w:bCs/>
          <w:i w:val="0"/>
          <w:iCs w:val="0"/>
          <w:caps w:val="0"/>
          <w:color w:val="0C0C0C"/>
          <w:spacing w:val="0"/>
          <w:sz w:val="36"/>
          <w:szCs w:val="36"/>
          <w:u w:val="none"/>
          <w:bdr w:val="none" w:color="auto" w:sz="0" w:space="0"/>
          <w:shd w:val="clear" w:fill="FFFFFF"/>
        </w:rPr>
        <w:t>公路工程施工分包负面清单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center"/>
        <w:rPr>
          <w:rFonts w:hint="eastAsia" w:ascii="微软雅黑" w:hAnsi="微软雅黑" w:eastAsia="微软雅黑" w:cs="微软雅黑"/>
          <w:i w:val="0"/>
          <w:iCs w:val="0"/>
          <w:caps w:val="0"/>
          <w:color w:val="444444"/>
          <w:spacing w:val="0"/>
          <w:sz w:val="21"/>
          <w:szCs w:val="21"/>
          <w:u w:val="none"/>
        </w:rPr>
      </w:pPr>
      <w:r>
        <w:rPr>
          <w:rStyle w:val="7"/>
          <w:rFonts w:hint="eastAsia" w:ascii="宋体" w:hAnsi="宋体" w:eastAsia="宋体" w:cs="宋体"/>
          <w:b/>
          <w:bCs/>
          <w:i w:val="0"/>
          <w:iCs w:val="0"/>
          <w:caps w:val="0"/>
          <w:color w:val="0C0C0C"/>
          <w:spacing w:val="0"/>
          <w:sz w:val="36"/>
          <w:szCs w:val="36"/>
          <w:u w:val="none"/>
          <w:bdr w:val="none" w:color="auto" w:sz="0" w:space="0"/>
          <w:shd w:val="clear" w:fill="FFFFFF"/>
        </w:rPr>
        <w:t>（2024年版）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以下主体和关键性工作不得进行施工分包：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Style w:val="7"/>
          <w:rFonts w:hint="eastAsia" w:ascii="宋体" w:hAnsi="宋体" w:eastAsia="宋体" w:cs="宋体"/>
          <w:b/>
          <w:bCs/>
          <w:i w:val="0"/>
          <w:iCs w:val="0"/>
          <w:caps w:val="0"/>
          <w:color w:val="0C0C0C"/>
          <w:spacing w:val="0"/>
          <w:sz w:val="21"/>
          <w:szCs w:val="21"/>
          <w:u w:val="none"/>
          <w:bdr w:val="none" w:color="auto" w:sz="0" w:space="0"/>
          <w:shd w:val="clear" w:fill="FFFFFF"/>
        </w:rPr>
        <w:t>一、桥梁工程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（一）高度≥20米的水中沉井基础。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（二）水深≥10米的围堰工程（钢结构制作和运输除外）。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（三）具有下列情形之一的梁式桥上部承重结构（钢结构制作和运输除外）：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1.高度≥20米落地式支撑架施工的现浇梁；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2.附着式支撑架施工的现浇梁；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3.节段重量≥200吨或长度≥4.5米悬臂施工的现浇梁；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4.跨度≥55米移动模架施工的现浇梁；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5.节段重量≥200吨或长度≥4.5米悬拼工法施工的装配式节段梁；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6.整孔预制安装的预制梁（外购梁预制、运输除外）；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7.单体自重≥200吨的装配式梁；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8.顶推系统支撑跨度≥55米施工的上部承重结构；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9.上跨既有一级及以上公路、主干路及以上城市道路、铁路的上部承重结构。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（四）单孔跨径≥1000米悬索桥、单孔跨径≥600米斜拉桥、单孔跨径≥400米拱桥的上部承重结构（钢结构制作和运输除外）。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Style w:val="7"/>
          <w:rFonts w:hint="eastAsia" w:ascii="宋体" w:hAnsi="宋体" w:eastAsia="宋体" w:cs="宋体"/>
          <w:b/>
          <w:bCs/>
          <w:i w:val="0"/>
          <w:iCs w:val="0"/>
          <w:caps w:val="0"/>
          <w:color w:val="0C0C0C"/>
          <w:spacing w:val="0"/>
          <w:sz w:val="21"/>
          <w:szCs w:val="21"/>
          <w:u w:val="none"/>
          <w:bdr w:val="none" w:color="auto" w:sz="0" w:space="0"/>
          <w:shd w:val="clear" w:fill="FFFFFF"/>
        </w:rPr>
        <w:t>二、隧道工程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（一）沉管工法施工的水中隧道的预制安装（基槽开挖、回填、浮运除外）。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（二）盾构法、TBM工法施工的隧道（管片预制、运输除外）。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（三）高瓦斯隧道（瓦斯抽排、爆破、二衬、出碴运输除外）。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（四）长度超过3千米，且与下列情形之一并存的隧道：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1.深埋富水；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2.岩溶强发育地段；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3.V级及以上围岩且开挖断面≥150平方米（爆破、二衬、出碴运输除外）。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（五）非无轨运输出碴隧道斜井，直径≥5米且深度≥300米的隧道竖井（爆破除外）。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（六）下穿既有一级及以上公路、主干路及以上城市道路、铁路、江河湖海，且长度≥50米的隧道工程（爆破、二衬、出碴运输除外）。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Style w:val="7"/>
          <w:rFonts w:hint="eastAsia" w:ascii="宋体" w:hAnsi="宋体" w:eastAsia="宋体" w:cs="宋体"/>
          <w:b/>
          <w:bCs/>
          <w:i w:val="0"/>
          <w:iCs w:val="0"/>
          <w:caps w:val="0"/>
          <w:color w:val="0C0C0C"/>
          <w:spacing w:val="0"/>
          <w:sz w:val="21"/>
          <w:szCs w:val="21"/>
          <w:u w:val="none"/>
          <w:bdr w:val="none" w:color="auto" w:sz="0" w:space="0"/>
          <w:shd w:val="clear" w:fill="FFFFFF"/>
        </w:rPr>
        <w:t>三、路基和路面工程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涉及大型滑坡、泥石流、冻土等不良地质和特殊性岩土处治工程，大型支挡防护工程，特殊高填深挖路基，有特殊技术要求的路面工程，桥面（隧道）铺装工程等，是否增补纳入负面清单，由省级交通运输主管部门根据本行政区域内公路工程建设实际情况自行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420"/>
        <w:rPr>
          <w:rFonts w:hint="eastAsia" w:ascii="微软雅黑" w:hAnsi="微软雅黑" w:eastAsia="微软雅黑" w:cs="微软雅黑"/>
          <w:i w:val="0"/>
          <w:iCs w:val="0"/>
          <w:caps w:val="0"/>
          <w:color w:val="444444"/>
          <w:spacing w:val="0"/>
          <w:sz w:val="21"/>
          <w:szCs w:val="21"/>
          <w:u w:val="none"/>
        </w:rPr>
      </w:pPr>
      <w:r>
        <w:rPr>
          <w:rFonts w:hint="eastAsia" w:ascii="宋体" w:hAnsi="宋体" w:eastAsia="宋体" w:cs="宋体"/>
          <w:i w:val="0"/>
          <w:iCs w:val="0"/>
          <w:caps w:val="0"/>
          <w:color w:val="0C0C0C"/>
          <w:spacing w:val="0"/>
          <w:sz w:val="21"/>
          <w:szCs w:val="21"/>
          <w:u w:val="none"/>
          <w:bdr w:val="none" w:color="auto" w:sz="0" w:space="0"/>
          <w:shd w:val="clear" w:fill="FFFFFF"/>
        </w:rPr>
        <w:t>抄送：中央纪委国家监委驻交通运输部纪检监察组，审计署交通运输审计局。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Nzg2YzllNWU1YzMyNzdiZmI2NGQ1ZWE5ODNjMjUifQ=="/>
  </w:docVars>
  <w:rsids>
    <w:rsidRoot w:val="00000000"/>
    <w:rsid w:val="49AE07F2"/>
    <w:rsid w:val="7069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2024-05-29T01:36:32Z</dcterms:created>
  <dc:creator>Administrator</dc:creator>
  <cp:lastModifiedBy>Administrator</cp:lastModifiedBy>
  <dcterms:modified xsi:type="dcterms:W3CDTF">2024-05-29T01:51:14Z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151AE481DD09423E9FFD531C0DE4DA9C_13</vt:lpwstr>
  </property>
</Properties>
</file>