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hint="default" w:ascii="Times New Roman" w:hAnsi="Times New Roman" w:eastAsia="楷体_GB2312"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18"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18"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tabs>
          <w:tab w:val="left" w:pos="7380"/>
        </w:tabs>
        <w:kinsoku/>
        <w:wordWrap/>
        <w:overflowPunct/>
        <w:topLinePunct w:val="0"/>
        <w:autoSpaceDN/>
        <w:bidi w:val="0"/>
        <w:adjustRightInd/>
        <w:snapToGrid/>
        <w:spacing w:line="560" w:lineRule="exact"/>
        <w:ind w:right="0" w:rightChars="0" w:firstLine="932" w:firstLineChars="200"/>
        <w:textAlignment w:val="auto"/>
        <w:outlineLvl w:val="9"/>
        <w:rPr>
          <w:rFonts w:hint="default" w:ascii="Times New Roman" w:hAnsi="Times New Roman" w:eastAsia="方正小标宋简体" w:cs="Times New Roman"/>
          <w:b/>
          <w:bCs/>
          <w:w w:val="98"/>
          <w:sz w:val="48"/>
        </w:rPr>
      </w:pPr>
      <w:r>
        <w:rPr>
          <w:rFonts w:hint="default" w:ascii="Times New Roman" w:hAnsi="Times New Roman" w:eastAsia="方正小标宋简体" w:cs="Times New Roman"/>
          <w:b/>
          <w:bCs/>
          <w:w w:val="98"/>
          <w:sz w:val="48"/>
        </w:rPr>
        <w:t xml:space="preserve">                             </w:t>
      </w:r>
    </w:p>
    <w:p>
      <w:pPr>
        <w:keepNext w:val="0"/>
        <w:keepLines w:val="0"/>
        <w:pageBreakBefore w:val="0"/>
        <w:kinsoku/>
        <w:wordWrap/>
        <w:overflowPunct/>
        <w:topLinePunct w:val="0"/>
        <w:autoSpaceDN/>
        <w:bidi w:val="0"/>
        <w:adjustRightInd/>
        <w:snapToGrid/>
        <w:spacing w:line="560" w:lineRule="exact"/>
        <w:ind w:right="0" w:rightChars="0" w:firstLine="618"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right="0" w:rightChars="0" w:firstLine="618"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8"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topLinePunct w:val="0"/>
        <w:autoSpaceDE/>
        <w:autoSpaceDN/>
        <w:bidi w:val="0"/>
        <w:ind w:left="0" w:leftChars="0"/>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softHyphen/>
      </w:r>
      <w:r>
        <w:rPr>
          <w:rFonts w:hint="default" w:ascii="Times New Roman" w:hAnsi="Times New Roman" w:eastAsia="方正仿宋简体" w:cs="Times New Roman"/>
          <w:b/>
          <w:sz w:val="32"/>
          <w:szCs w:val="32"/>
        </w:rPr>
        <w:t>济开</w:t>
      </w:r>
      <w:r>
        <w:rPr>
          <w:rFonts w:hint="default" w:ascii="Times New Roman" w:hAnsi="Times New Roman" w:eastAsia="方正仿宋简体" w:cs="Times New Roman"/>
          <w:b/>
          <w:sz w:val="32"/>
          <w:szCs w:val="32"/>
          <w:lang w:eastAsia="zh-CN"/>
        </w:rPr>
        <w:t>管</w:t>
      </w:r>
      <w:r>
        <w:rPr>
          <w:rFonts w:hint="default" w:ascii="Times New Roman" w:hAnsi="Times New Roman" w:eastAsia="方正仿宋简体" w:cs="Times New Roman"/>
          <w:b/>
          <w:sz w:val="32"/>
          <w:szCs w:val="32"/>
        </w:rPr>
        <w:t>办发〔20</w:t>
      </w:r>
      <w:r>
        <w:rPr>
          <w:rFonts w:hint="default" w:ascii="Times New Roman" w:hAnsi="Times New Roman" w:eastAsia="方正仿宋简体" w:cs="Times New Roman"/>
          <w:b/>
          <w:sz w:val="32"/>
          <w:szCs w:val="32"/>
          <w:lang w:val="en-US" w:eastAsia="zh-CN"/>
        </w:rPr>
        <w:t>21</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济宁经济技术开发区党政办公室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w:t>
      </w:r>
      <w:r>
        <w:rPr>
          <w:rFonts w:hint="default" w:ascii="Times New Roman" w:hAnsi="Times New Roman" w:eastAsia="方正小标宋简体" w:cs="Times New Roman"/>
          <w:b/>
          <w:bCs/>
          <w:sz w:val="44"/>
          <w:szCs w:val="44"/>
          <w:lang w:eastAsia="zh-CN"/>
        </w:rPr>
        <w:t>《济宁经济技术开发区</w:t>
      </w:r>
      <w:r>
        <w:rPr>
          <w:rFonts w:hint="default" w:ascii="Times New Roman" w:hAnsi="Times New Roman" w:eastAsia="方正小标宋简体" w:cs="Times New Roman"/>
          <w:b/>
          <w:bCs/>
          <w:sz w:val="44"/>
          <w:szCs w:val="44"/>
        </w:rPr>
        <w:t>全面推行证明事项告知承诺制实施方案</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b/>
          <w:bCs/>
          <w:spacing w:val="-11"/>
          <w:sz w:val="32"/>
          <w:szCs w:val="32"/>
        </w:rPr>
      </w:pPr>
      <w:r>
        <w:rPr>
          <w:rFonts w:hint="default" w:ascii="Times New Roman" w:hAnsi="Times New Roman" w:eastAsia="方正楷体简体" w:cs="Times New Roman"/>
          <w:b/>
          <w:bCs/>
          <w:spacing w:val="-11"/>
          <w:sz w:val="32"/>
          <w:szCs w:val="32"/>
          <w:lang w:eastAsia="zh-CN"/>
        </w:rPr>
        <w:t>疃里镇、马集镇人民政府，区直各部门、各派驻机构，区属国有企业：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济宁经济技术开发区</w:t>
      </w:r>
      <w:r>
        <w:rPr>
          <w:rFonts w:hint="default" w:ascii="Times New Roman" w:hAnsi="Times New Roman" w:eastAsia="方正楷体简体" w:cs="Times New Roman"/>
          <w:b/>
          <w:bCs/>
          <w:sz w:val="32"/>
          <w:szCs w:val="32"/>
        </w:rPr>
        <w:t>全面推行证明事项告知承诺制实施方案》已经</w:t>
      </w:r>
      <w:r>
        <w:rPr>
          <w:rFonts w:hint="default" w:ascii="Times New Roman" w:hAnsi="Times New Roman" w:eastAsia="方正楷体简体" w:cs="Times New Roman"/>
          <w:b/>
          <w:bCs/>
          <w:sz w:val="32"/>
          <w:szCs w:val="32"/>
          <w:lang w:eastAsia="zh-CN"/>
        </w:rPr>
        <w:t>区管委会</w:t>
      </w:r>
      <w:r>
        <w:rPr>
          <w:rFonts w:hint="default" w:ascii="Times New Roman" w:hAnsi="Times New Roman" w:eastAsia="方正楷体简体" w:cs="Times New Roman"/>
          <w:b/>
          <w:bCs/>
          <w:sz w:val="32"/>
          <w:szCs w:val="32"/>
        </w:rPr>
        <w:t>同意，现印发给你们，请结合实际认真贯彻实施</w:t>
      </w:r>
      <w:r>
        <w:rPr>
          <w:rFonts w:hint="default" w:ascii="Times New Roman" w:hAnsi="Times New Roman" w:eastAsia="方正楷体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08" w:firstLineChars="13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济宁经济技术开发区党政</w:t>
      </w:r>
      <w:r>
        <w:rPr>
          <w:rFonts w:hint="default" w:ascii="Times New Roman" w:hAnsi="Times New Roman" w:eastAsia="方正楷体简体" w:cs="Times New Roman"/>
          <w:b/>
          <w:bCs/>
          <w:sz w:val="32"/>
          <w:szCs w:val="32"/>
        </w:rPr>
        <w:t>办公室</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2021年</w:t>
      </w:r>
      <w:r>
        <w:rPr>
          <w:rFonts w:hint="eastAsia" w:ascii="Times New Roman" w:hAnsi="Times New Roman" w:eastAsia="方正楷体简体" w:cs="Times New Roman"/>
          <w:b/>
          <w:bCs/>
          <w:sz w:val="32"/>
          <w:szCs w:val="32"/>
          <w:lang w:val="en-US" w:eastAsia="zh-CN"/>
        </w:rPr>
        <w:t>6</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8</w:t>
      </w:r>
      <w:r>
        <w:rPr>
          <w:rFonts w:hint="default" w:ascii="Times New Roman" w:hAnsi="Times New Roman" w:eastAsia="方正楷体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济宁经济技术开发区</w:t>
      </w:r>
      <w:r>
        <w:rPr>
          <w:rFonts w:hint="default" w:ascii="Times New Roman" w:hAnsi="Times New Roman" w:eastAsia="方正小标宋简体" w:cs="Times New Roman"/>
          <w:b/>
          <w:bCs/>
          <w:sz w:val="44"/>
          <w:szCs w:val="44"/>
        </w:rPr>
        <w:t>全面推行证明事项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告知承诺制实施方案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为进一步优化营商环境，激发市场主体发展活力和社会创造力，根据《国务院办公厅关于全面推行证明事项和涉企经营许可事项告知承诺制的指导意见》（国办发〔2020〕42号）</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《山东省人民政府办公厅关于印发山东省全面推行证明事项告知承诺制实施方案的通知》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鲁政办发〔2020〕29号</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和《济宁市人民政府办公室</w:t>
      </w:r>
      <w:r>
        <w:rPr>
          <w:rFonts w:hint="default" w:ascii="Times New Roman" w:hAnsi="Times New Roman" w:eastAsia="方正仿宋简体" w:cs="Times New Roman"/>
          <w:b/>
          <w:bCs/>
          <w:sz w:val="32"/>
          <w:szCs w:val="32"/>
        </w:rPr>
        <w:t>关于</w:t>
      </w:r>
      <w:r>
        <w:rPr>
          <w:rFonts w:hint="eastAsia" w:ascii="Times New Roman" w:hAnsi="Times New Roman" w:eastAsia="方正仿宋简体" w:cs="Times New Roman"/>
          <w:b/>
          <w:bCs/>
          <w:sz w:val="32"/>
          <w:szCs w:val="32"/>
          <w:lang w:eastAsia="zh-CN"/>
        </w:rPr>
        <w:t>印发济宁市</w:t>
      </w:r>
      <w:r>
        <w:rPr>
          <w:rFonts w:hint="default" w:ascii="Times New Roman" w:hAnsi="Times New Roman" w:eastAsia="方正仿宋简体" w:cs="Times New Roman"/>
          <w:b/>
          <w:bCs/>
          <w:sz w:val="32"/>
          <w:szCs w:val="32"/>
        </w:rPr>
        <w:t>全面推行证明事项告知承诺制</w:t>
      </w:r>
      <w:r>
        <w:rPr>
          <w:rFonts w:hint="eastAsia" w:ascii="Times New Roman" w:hAnsi="Times New Roman" w:eastAsia="方正仿宋简体" w:cs="Times New Roman"/>
          <w:b/>
          <w:bCs/>
          <w:sz w:val="32"/>
          <w:szCs w:val="32"/>
          <w:lang w:eastAsia="zh-CN"/>
        </w:rPr>
        <w:t>实施方案的通知</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（济政办发</w:t>
      </w: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〕4号</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现就在全</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全面推行证明事项告知承诺制制定本实施方案</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一、确定事项范围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1</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承接省级</w:t>
      </w:r>
      <w:r>
        <w:rPr>
          <w:rFonts w:hint="eastAsia" w:ascii="Times New Roman" w:hAnsi="Times New Roman" w:eastAsia="方正楷体简体" w:cs="Times New Roman"/>
          <w:b/>
          <w:bCs/>
          <w:sz w:val="32"/>
          <w:szCs w:val="32"/>
          <w:lang w:eastAsia="zh-CN"/>
        </w:rPr>
        <w:t>、市级</w:t>
      </w:r>
      <w:r>
        <w:rPr>
          <w:rFonts w:hint="default" w:ascii="Times New Roman" w:hAnsi="Times New Roman" w:eastAsia="方正楷体简体" w:cs="Times New Roman"/>
          <w:b/>
          <w:bCs/>
          <w:sz w:val="32"/>
          <w:szCs w:val="32"/>
        </w:rPr>
        <w:t>事项清单</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省级行政机关、单位负责本系统实行告知承诺制的证明事项通用清单，省司法厅审核后报请公布，全省各级行政机关统一适用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各行政机关、单位要全面承接省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实行告知承诺制的证明事项通用清单并组织实施</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w:t>
      </w:r>
      <w:r>
        <w:rPr>
          <w:rFonts w:hint="eastAsia" w:ascii="Times New Roman" w:hAnsi="Times New Roman" w:eastAsia="方正楷体简体" w:cs="Times New Roman"/>
          <w:b/>
          <w:bCs/>
          <w:sz w:val="32"/>
          <w:szCs w:val="32"/>
          <w:lang w:val="en-US" w:eastAsia="zh-CN"/>
        </w:rPr>
        <w:t>6</w:t>
      </w:r>
      <w:r>
        <w:rPr>
          <w:rFonts w:hint="default" w:ascii="Times New Roman" w:hAnsi="Times New Roman" w:eastAsia="方正楷体简体" w:cs="Times New Roman"/>
          <w:b/>
          <w:bCs/>
          <w:sz w:val="32"/>
          <w:szCs w:val="32"/>
        </w:rPr>
        <w:t>月底完成，</w:t>
      </w:r>
      <w:r>
        <w:rPr>
          <w:rFonts w:hint="default" w:ascii="Times New Roman" w:hAnsi="Times New Roman" w:eastAsia="方正楷体简体" w:cs="Times New Roman"/>
          <w:b/>
          <w:bCs/>
          <w:sz w:val="32"/>
          <w:szCs w:val="32"/>
          <w:lang w:eastAsia="zh-CN"/>
        </w:rPr>
        <w:t>区直各部门、单位</w:t>
      </w:r>
      <w:r>
        <w:rPr>
          <w:rFonts w:hint="default" w:ascii="Times New Roman" w:hAnsi="Times New Roman" w:eastAsia="方正楷体简体" w:cs="Times New Roman"/>
          <w:b/>
          <w:bCs/>
          <w:sz w:val="32"/>
          <w:szCs w:val="32"/>
        </w:rPr>
        <w:t>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2</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梳理本级事项清单</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lang w:eastAsia="zh-CN"/>
        </w:rPr>
        <w:t>区直各部门</w:t>
      </w:r>
      <w:r>
        <w:rPr>
          <w:rFonts w:hint="default" w:ascii="Times New Roman" w:hAnsi="Times New Roman" w:eastAsia="方正仿宋简体" w:cs="Times New Roman"/>
          <w:b/>
          <w:bCs/>
          <w:sz w:val="32"/>
          <w:szCs w:val="32"/>
        </w:rPr>
        <w:t>、单位应当按照最大限度便民利民原则，在</w:t>
      </w:r>
      <w:r>
        <w:rPr>
          <w:rFonts w:hint="eastAsia" w:ascii="Times New Roman" w:hAnsi="Times New Roman" w:eastAsia="方正仿宋简体" w:cs="Times New Roman"/>
          <w:b/>
          <w:bCs/>
          <w:sz w:val="32"/>
          <w:szCs w:val="32"/>
          <w:lang w:eastAsia="zh-CN"/>
        </w:rPr>
        <w:t>省、市级</w:t>
      </w:r>
      <w:r>
        <w:rPr>
          <w:rFonts w:hint="default" w:ascii="Times New Roman" w:hAnsi="Times New Roman" w:eastAsia="方正仿宋简体" w:cs="Times New Roman"/>
          <w:b/>
          <w:bCs/>
          <w:sz w:val="32"/>
          <w:szCs w:val="32"/>
        </w:rPr>
        <w:t>告知承诺制证明事项通用清单的基础上，对照已公布的本级证明事项保留清单和证明事项告知承诺制清单，梳理与企业和群众生产生活密切相关，使用频次较高或者当事人获取难度较大、行政机关容易核查的证明事项，实行告知承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能够通过电子证照库等数据共享方式实现在线核查的法定证照类证明事项，原则上都要实行告知承诺制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在户籍管理、市场主体准营、资格考试、社会保险、社会救助、健康体检、法律服务等领域办理行政许可、行政确认、行政给付等行政事项时需要的证明事项，要重点推行告知承诺制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直接涉及国家安全、国家秘密、公共安全、金融业审慎监管、生态环境保护，直接关系人身健康、生命财产安全，以及重要涉外等风险较大、纠错成本较高、损害难以挽回的证明事项不适用告知承诺制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eastAsia" w:ascii="Times New Roman" w:hAnsi="Times New Roman" w:eastAsia="方正楷体简体" w:cs="Times New Roman"/>
          <w:b/>
          <w:bCs/>
          <w:sz w:val="32"/>
          <w:szCs w:val="32"/>
          <w:lang w:eastAsia="zh-CN"/>
        </w:rPr>
        <w:t>区</w:t>
      </w:r>
      <w:r>
        <w:rPr>
          <w:rFonts w:hint="default" w:ascii="Times New Roman" w:hAnsi="Times New Roman" w:eastAsia="方正楷体简体" w:cs="Times New Roman"/>
          <w:b/>
          <w:bCs/>
          <w:sz w:val="32"/>
          <w:szCs w:val="32"/>
          <w:lang w:eastAsia="zh-CN"/>
        </w:rPr>
        <w:t>党政办公室</w:t>
      </w:r>
      <w:r>
        <w:rPr>
          <w:rFonts w:hint="default" w:ascii="Times New Roman" w:hAnsi="Times New Roman" w:eastAsia="方正楷体简体" w:cs="Times New Roman"/>
          <w:b/>
          <w:bCs/>
          <w:sz w:val="32"/>
          <w:szCs w:val="32"/>
        </w:rPr>
        <w:t>牵头，</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3</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建立事项动态调整机制</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根据行政事项的调整情况和告知承诺制推行情况，适时调整实行告知承诺制的证明事项清单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相关</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级</w:t>
      </w:r>
      <w:r>
        <w:rPr>
          <w:rFonts w:hint="default" w:ascii="Times New Roman" w:hAnsi="Times New Roman" w:eastAsia="方正仿宋简体" w:cs="Times New Roman"/>
          <w:b/>
          <w:bCs/>
          <w:sz w:val="32"/>
          <w:szCs w:val="32"/>
          <w:lang w:eastAsia="zh-CN"/>
        </w:rPr>
        <w:t>部门</w:t>
      </w:r>
      <w:r>
        <w:rPr>
          <w:rFonts w:hint="default" w:ascii="Times New Roman" w:hAnsi="Times New Roman" w:eastAsia="方正仿宋简体" w:cs="Times New Roman"/>
          <w:b/>
          <w:bCs/>
          <w:sz w:val="32"/>
          <w:szCs w:val="32"/>
        </w:rPr>
        <w:t>单位需要调整清单的，向</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lang w:eastAsia="zh-CN"/>
        </w:rPr>
        <w:t>党政办公室</w:t>
      </w:r>
      <w:r>
        <w:rPr>
          <w:rFonts w:hint="default" w:ascii="Times New Roman" w:hAnsi="Times New Roman" w:eastAsia="方正仿宋简体" w:cs="Times New Roman"/>
          <w:b/>
          <w:bCs/>
          <w:sz w:val="32"/>
          <w:szCs w:val="32"/>
        </w:rPr>
        <w:t>提交申请和依据，经审核后公布实施；</w:t>
      </w:r>
      <w:r>
        <w:rPr>
          <w:rFonts w:hint="default"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需要调整清单的，由</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lang w:eastAsia="zh-CN"/>
        </w:rPr>
        <w:t>党政办公室</w:t>
      </w:r>
      <w:r>
        <w:rPr>
          <w:rFonts w:hint="default" w:ascii="Times New Roman" w:hAnsi="Times New Roman" w:eastAsia="方正仿宋简体" w:cs="Times New Roman"/>
          <w:b/>
          <w:bCs/>
          <w:sz w:val="32"/>
          <w:szCs w:val="32"/>
        </w:rPr>
        <w:t>统一审核公布</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调整公布后的清单于7个工作日内逐级报</w:t>
      </w:r>
      <w:r>
        <w:rPr>
          <w:rFonts w:hint="default"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司法</w:t>
      </w:r>
      <w:r>
        <w:rPr>
          <w:rFonts w:hint="default" w:ascii="Times New Roman" w:hAnsi="Times New Roman" w:eastAsia="方正仿宋简体" w:cs="Times New Roman"/>
          <w:b/>
          <w:bCs/>
          <w:sz w:val="32"/>
          <w:szCs w:val="32"/>
          <w:lang w:eastAsia="zh-CN"/>
        </w:rPr>
        <w:t>局</w:t>
      </w:r>
      <w:r>
        <w:rPr>
          <w:rFonts w:hint="default" w:ascii="Times New Roman" w:hAnsi="Times New Roman" w:eastAsia="方正仿宋简体" w:cs="Times New Roman"/>
          <w:b/>
          <w:bCs/>
          <w:sz w:val="32"/>
          <w:szCs w:val="32"/>
        </w:rPr>
        <w:t>备案</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eastAsia="zh-CN"/>
        </w:rPr>
        <w:t>区</w:t>
      </w:r>
      <w:r>
        <w:rPr>
          <w:rFonts w:hint="default" w:ascii="Times New Roman" w:hAnsi="Times New Roman" w:eastAsia="方正楷体简体" w:cs="Times New Roman"/>
          <w:b/>
          <w:bCs/>
          <w:sz w:val="32"/>
          <w:szCs w:val="32"/>
          <w:lang w:eastAsia="zh-CN"/>
        </w:rPr>
        <w:t>党政办公室</w:t>
      </w:r>
      <w:r>
        <w:rPr>
          <w:rFonts w:hint="default" w:ascii="Times New Roman" w:hAnsi="Times New Roman" w:eastAsia="方正楷体简体" w:cs="Times New Roman"/>
          <w:b/>
          <w:bCs/>
          <w:sz w:val="32"/>
          <w:szCs w:val="32"/>
        </w:rPr>
        <w:t>牵头，</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二、规范工作流程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4</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制定告知承诺制工作规程</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制定通用性工作规程，规范实行证明事项告知承诺制涉及的相关单位和当事人权利义务、告知内容、承诺内容、核查要求、办理程序、信用管理、法律责任等，为实行告知承诺制提供操作指引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default" w:ascii="Times New Roman" w:hAnsi="Times New Roman" w:eastAsia="方正楷体简体" w:cs="Times New Roman"/>
          <w:b/>
          <w:bCs/>
          <w:sz w:val="32"/>
          <w:szCs w:val="32"/>
          <w:lang w:eastAsia="zh-CN"/>
        </w:rPr>
        <w:t>区行政审批服务局</w:t>
      </w:r>
      <w:r>
        <w:rPr>
          <w:rFonts w:hint="default" w:ascii="Times New Roman" w:hAnsi="Times New Roman" w:eastAsia="方正楷体简体" w:cs="Times New Roman"/>
          <w:b/>
          <w:bCs/>
          <w:sz w:val="32"/>
          <w:szCs w:val="32"/>
        </w:rPr>
        <w:t>牵头，</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5</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制作告知承诺书格式文本</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各相关单位根据通用性工作规程，制作书面告知书和书面承诺书格式文本，在证明事项通用清单公布后10个工作日内，通过相关服务场所、网站和政务服务平台等公布，方便申请人查阅、索取、使用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6</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编制完善办事指南</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按照实行告知承诺制的相关要求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各相关单位要编制、补充、完善行政事项办事指南，明确当事人选择告知承诺的要求，明确选择或不选择告知承诺的办事程序，明确选择承诺中途退出工作流程，与格式文本一并公告</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7</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明确公开告知承诺书的事项</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对涉及社会公共利益、第三人利益或者核查难度较大的证明事项，各相关单位决定向社会公开告知承诺书的，应当制作事项目录向社会公开，并在当事人申请时告知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当事人拒绝公开的，应当提交法律法规或者国务院决定要求的证明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三、强化核查与监管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8</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分类确定核查办法</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针对行政事项特点，综合考虑行业管理需要、核查难度</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承诺人信用状况等因素，各相关单位要针对实行告知承诺制的证明事项清单，分类确定核查时间、标准、方式以及是否免于核查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对于法定证照类等证明事项，可以通过电子证照库、政务信息共享平台、政务服务移动客户端等收集、比对相关数据，实施在线核查</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于确需现场勘验等方式现场核查的，要优化工作流程、加强业务协同，避免烦企扰民；对于数据尚未实现网络共享、通过其他方式难以核查的，可以请求其他行政机关协助，避免因核查效率降低影响企业和群众办事</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9</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建立健全核查机制</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行政审批服务局要通过一体化在线政务服务平台，</w:t>
      </w:r>
      <w:r>
        <w:rPr>
          <w:rFonts w:hint="eastAsia" w:ascii="Times New Roman" w:hAnsi="Times New Roman" w:eastAsia="方正仿宋简体" w:cs="Times New Roman"/>
          <w:b/>
          <w:bCs/>
          <w:sz w:val="32"/>
          <w:szCs w:val="32"/>
          <w:lang w:eastAsia="zh-CN"/>
        </w:rPr>
        <w:t>区党政办公室</w:t>
      </w:r>
      <w:r>
        <w:rPr>
          <w:rFonts w:hint="eastAsia" w:ascii="Times New Roman" w:hAnsi="Times New Roman" w:eastAsia="方正仿宋简体" w:cs="Times New Roman"/>
          <w:b/>
          <w:bCs/>
          <w:sz w:val="32"/>
          <w:szCs w:val="32"/>
          <w:lang w:val="en-US" w:eastAsia="zh-CN"/>
        </w:rPr>
        <w:t>政务公开和大数据</w:t>
      </w:r>
      <w:r>
        <w:rPr>
          <w:rFonts w:hint="default" w:ascii="Times New Roman" w:hAnsi="Times New Roman" w:eastAsia="方正仿宋简体" w:cs="Times New Roman"/>
          <w:b/>
          <w:bCs/>
          <w:sz w:val="32"/>
          <w:szCs w:val="32"/>
          <w:lang w:eastAsia="zh-CN"/>
        </w:rPr>
        <w:t>科</w:t>
      </w:r>
      <w:r>
        <w:rPr>
          <w:rFonts w:hint="default" w:ascii="Times New Roman" w:hAnsi="Times New Roman" w:eastAsia="方正仿宋简体" w:cs="Times New Roman"/>
          <w:b/>
          <w:bCs/>
          <w:sz w:val="32"/>
          <w:szCs w:val="32"/>
        </w:rPr>
        <w:t>要通过一体化大数据平台等有效整合信息资源，为实现信息核查提供技术支撑</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对于需要在线核查但暂时未实现的或者需要其他行政机关协助核查的，</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lang w:eastAsia="zh-CN"/>
        </w:rPr>
        <w:t>党政办公室</w:t>
      </w:r>
      <w:r>
        <w:rPr>
          <w:rFonts w:hint="default" w:ascii="Times New Roman" w:hAnsi="Times New Roman" w:eastAsia="方正仿宋简体" w:cs="Times New Roman"/>
          <w:b/>
          <w:bCs/>
          <w:sz w:val="32"/>
          <w:szCs w:val="32"/>
        </w:rPr>
        <w:t>要牵头组织编制行政协助事项清单，有关</w:t>
      </w:r>
      <w:r>
        <w:rPr>
          <w:rFonts w:hint="default" w:ascii="Times New Roman" w:hAnsi="Times New Roman" w:eastAsia="方正仿宋简体" w:cs="Times New Roman"/>
          <w:b/>
          <w:bCs/>
          <w:sz w:val="32"/>
          <w:szCs w:val="32"/>
          <w:lang w:eastAsia="zh-CN"/>
        </w:rPr>
        <w:t>部门</w:t>
      </w:r>
      <w:r>
        <w:rPr>
          <w:rFonts w:hint="default" w:ascii="Times New Roman" w:hAnsi="Times New Roman" w:eastAsia="方正仿宋简体" w:cs="Times New Roman"/>
          <w:b/>
          <w:bCs/>
          <w:sz w:val="32"/>
          <w:szCs w:val="32"/>
        </w:rPr>
        <w:t>要积极配合，建立需求单位和协助单位的协同配合工作机制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rPr>
        <w:t>（2021年6月底完成，</w:t>
      </w:r>
      <w:r>
        <w:rPr>
          <w:rFonts w:hint="eastAsia" w:ascii="Times New Roman" w:hAnsi="Times New Roman" w:eastAsia="方正楷体简体" w:cs="Times New Roman"/>
          <w:b/>
          <w:bCs/>
          <w:sz w:val="32"/>
          <w:szCs w:val="32"/>
          <w:lang w:eastAsia="zh-CN"/>
        </w:rPr>
        <w:t>区</w:t>
      </w:r>
      <w:r>
        <w:rPr>
          <w:rFonts w:hint="default" w:ascii="Times New Roman" w:hAnsi="Times New Roman" w:eastAsia="方正楷体简体" w:cs="Times New Roman"/>
          <w:b/>
          <w:bCs/>
          <w:sz w:val="32"/>
          <w:szCs w:val="32"/>
          <w:lang w:eastAsia="zh-CN"/>
        </w:rPr>
        <w:t>党政办公室</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区</w:t>
      </w:r>
      <w:r>
        <w:rPr>
          <w:rFonts w:hint="default" w:ascii="Times New Roman" w:hAnsi="Times New Roman" w:eastAsia="方正楷体简体" w:cs="Times New Roman"/>
          <w:b/>
          <w:bCs/>
          <w:sz w:val="32"/>
          <w:szCs w:val="32"/>
        </w:rPr>
        <w:t>行政审批服务局牵头，</w:t>
      </w:r>
      <w:r>
        <w:rPr>
          <w:rFonts w:hint="default" w:ascii="Times New Roman" w:hAnsi="Times New Roman" w:eastAsia="方正楷体简体" w:cs="Times New Roman"/>
          <w:b/>
          <w:bCs/>
          <w:sz w:val="32"/>
          <w:szCs w:val="32"/>
          <w:lang w:eastAsia="zh-CN"/>
        </w:rPr>
        <w:t>区直有关部门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10</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加强事中事后监管</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对于通过告知承诺制办理的行政事项，尤其是免于信息核查办理的行政事项，各相关单位要综合运用</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双随机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一公开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重点监管</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互联网＋监管</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智慧监管等方式加强日常监管，有效规避行业管理风险</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行政事项办理单位和行业监管部门不一致的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行政事项办理单位确定免于核查的，要充分征求行业监管部门意见，明确双方权责，建立协调配合</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信息共享等工作机制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避免监管真空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监管缺位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在信息核查和事中事后监管中发现承诺不实的，要依法终止办理、责令限期整改、撤销行政决定或者予以行政处罚</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涉嫌犯罪的，依法移送司法机关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lang w:eastAsia="zh-CN"/>
        </w:rPr>
        <w:t>（区党政办公室</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区</w:t>
      </w:r>
      <w:r>
        <w:rPr>
          <w:rFonts w:hint="default" w:ascii="Times New Roman" w:hAnsi="Times New Roman" w:eastAsia="方正楷体简体" w:cs="Times New Roman"/>
          <w:b/>
          <w:bCs/>
          <w:sz w:val="32"/>
          <w:szCs w:val="32"/>
        </w:rPr>
        <w:t>市场监管</w:t>
      </w:r>
      <w:r>
        <w:rPr>
          <w:rFonts w:hint="default" w:ascii="Times New Roman" w:hAnsi="Times New Roman" w:eastAsia="方正楷体简体" w:cs="Times New Roman"/>
          <w:b/>
          <w:bCs/>
          <w:sz w:val="32"/>
          <w:szCs w:val="32"/>
          <w:lang w:eastAsia="zh-CN"/>
        </w:rPr>
        <w:t>中心</w:t>
      </w:r>
      <w:r>
        <w:rPr>
          <w:rFonts w:hint="default" w:ascii="Times New Roman" w:hAnsi="Times New Roman" w:eastAsia="方正楷体简体" w:cs="Times New Roman"/>
          <w:b/>
          <w:bCs/>
          <w:sz w:val="32"/>
          <w:szCs w:val="32"/>
        </w:rPr>
        <w:t>牵头，</w:t>
      </w:r>
      <w:r>
        <w:rPr>
          <w:rFonts w:hint="default" w:ascii="Times New Roman" w:hAnsi="Times New Roman" w:eastAsia="方正楷体简体" w:cs="Times New Roman"/>
          <w:b/>
          <w:bCs/>
          <w:sz w:val="32"/>
          <w:szCs w:val="32"/>
          <w:lang w:eastAsia="zh-CN"/>
        </w:rPr>
        <w:t>区直有关部门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四、完善信用管理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11</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建立告知承诺信用管理机制</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要建立告知承诺信用信息归集、推送、管理、使用等工作机制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依法科学界定告知承诺失信行为，明确相应失信惩戒措施，探索建立信用修复、异议处理机制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各相关单位要通过公共信用信息平台、国家企业信用信息公示系统</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山东</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将承诺信息及履行承诺情况全面纳入信用记录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2021年9月底完成，</w:t>
      </w:r>
      <w:r>
        <w:rPr>
          <w:rFonts w:hint="default" w:ascii="Times New Roman" w:hAnsi="Times New Roman" w:eastAsia="方正楷体简体" w:cs="Times New Roman"/>
          <w:b/>
          <w:bCs/>
          <w:sz w:val="32"/>
          <w:szCs w:val="32"/>
          <w:lang w:eastAsia="zh-CN"/>
        </w:rPr>
        <w:t>区党政办公室</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eastAsia="zh-CN"/>
        </w:rPr>
        <w:t>区经济发展局</w:t>
      </w:r>
      <w:r>
        <w:rPr>
          <w:rFonts w:hint="default" w:ascii="Times New Roman" w:hAnsi="Times New Roman" w:eastAsia="方正楷体简体" w:cs="Times New Roman"/>
          <w:b/>
          <w:bCs/>
          <w:sz w:val="32"/>
          <w:szCs w:val="32"/>
        </w:rPr>
        <w:t>牵头，</w:t>
      </w:r>
      <w:r>
        <w:rPr>
          <w:rFonts w:hint="default" w:ascii="Times New Roman" w:hAnsi="Times New Roman" w:eastAsia="方正楷体简体" w:cs="Times New Roman"/>
          <w:b/>
          <w:bCs/>
          <w:sz w:val="32"/>
          <w:szCs w:val="32"/>
          <w:lang w:eastAsia="zh-CN"/>
        </w:rPr>
        <w:t>区直有关部门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12</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加强告知承诺信用管理</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r>
        <w:rPr>
          <w:rFonts w:hint="default" w:ascii="Times New Roman" w:hAnsi="Times New Roman" w:eastAsia="方正仿宋简体" w:cs="Times New Roman"/>
          <w:b/>
          <w:bCs/>
          <w:sz w:val="32"/>
          <w:szCs w:val="32"/>
          <w:lang w:eastAsia="zh-CN"/>
        </w:rPr>
        <w:t>。</w:t>
      </w:r>
      <w:r>
        <w:rPr>
          <w:rFonts w:hint="default" w:ascii="Times New Roman" w:hAnsi="Times New Roman" w:eastAsia="方正楷体简体" w:cs="Times New Roman"/>
          <w:b/>
          <w:bCs/>
          <w:sz w:val="32"/>
          <w:szCs w:val="32"/>
          <w:lang w:eastAsia="zh-CN"/>
        </w:rPr>
        <w:t>（区直各部门</w:t>
      </w:r>
      <w:r>
        <w:rPr>
          <w:rFonts w:hint="default" w:ascii="Times New Roman" w:hAnsi="Times New Roman" w:eastAsia="方正楷体简体" w:cs="Times New Roman"/>
          <w:b/>
          <w:bCs/>
          <w:sz w:val="32"/>
          <w:szCs w:val="32"/>
        </w:rPr>
        <w:t>、单位具体实施</w:t>
      </w:r>
      <w:r>
        <w:rPr>
          <w:rFonts w:hint="default" w:ascii="Times New Roman" w:hAnsi="Times New Roman" w:eastAsia="方正楷体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五、加强实施组织保障</w:t>
      </w:r>
      <w:r>
        <w:rPr>
          <w:rFonts w:hint="default" w:ascii="Times New Roman" w:hAnsi="Times New Roman" w:eastAsia="方正黑体简体" w:cs="Times New Roman"/>
          <w:b/>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13</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加强组织领导</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及其部门的主要负责同志作为本地区、本部门全面推行证明事项告知承诺制工作的第一责任人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负责推进工作落实</w:t>
      </w:r>
      <w:r>
        <w:rPr>
          <w:rFonts w:hint="default"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成立由</w:t>
      </w:r>
      <w:r>
        <w:rPr>
          <w:rFonts w:hint="default" w:ascii="Times New Roman" w:hAnsi="Times New Roman" w:eastAsia="方正仿宋简体" w:cs="Times New Roman"/>
          <w:b/>
          <w:bCs/>
          <w:sz w:val="32"/>
          <w:szCs w:val="32"/>
          <w:lang w:eastAsia="zh-CN"/>
        </w:rPr>
        <w:t>主要负责人</w:t>
      </w:r>
      <w:r>
        <w:rPr>
          <w:rFonts w:hint="default" w:ascii="Times New Roman" w:hAnsi="Times New Roman" w:eastAsia="方正仿宋简体" w:cs="Times New Roman"/>
          <w:b/>
          <w:bCs/>
          <w:sz w:val="32"/>
          <w:szCs w:val="32"/>
        </w:rPr>
        <w:t>任组长，分管</w:t>
      </w:r>
      <w:r>
        <w:rPr>
          <w:rFonts w:hint="default" w:ascii="Times New Roman" w:hAnsi="Times New Roman" w:eastAsia="方正仿宋简体" w:cs="Times New Roman"/>
          <w:b/>
          <w:bCs/>
          <w:sz w:val="32"/>
          <w:szCs w:val="32"/>
          <w:lang w:eastAsia="zh-CN"/>
        </w:rPr>
        <w:t>负责人任</w:t>
      </w:r>
      <w:r>
        <w:rPr>
          <w:rFonts w:hint="default" w:ascii="Times New Roman" w:hAnsi="Times New Roman" w:eastAsia="方正仿宋简体" w:cs="Times New Roman"/>
          <w:b/>
          <w:bCs/>
          <w:sz w:val="32"/>
          <w:szCs w:val="32"/>
        </w:rPr>
        <w:t>副组长，</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lang w:eastAsia="zh-CN"/>
        </w:rPr>
        <w:t>党政</w:t>
      </w:r>
      <w:r>
        <w:rPr>
          <w:rFonts w:hint="default" w:ascii="Times New Roman" w:hAnsi="Times New Roman" w:eastAsia="方正仿宋简体" w:cs="Times New Roman"/>
          <w:b/>
          <w:bCs/>
          <w:sz w:val="32"/>
          <w:szCs w:val="32"/>
        </w:rPr>
        <w:t>办公室、</w:t>
      </w:r>
      <w:r>
        <w:rPr>
          <w:rFonts w:hint="eastAsia" w:ascii="Times New Roman" w:hAnsi="Times New Roman" w:eastAsia="方正仿宋简体" w:cs="Times New Roman"/>
          <w:b/>
          <w:bCs/>
          <w:sz w:val="32"/>
          <w:szCs w:val="32"/>
          <w:lang w:eastAsia="zh-CN"/>
        </w:rPr>
        <w:t>区组织部、</w:t>
      </w:r>
      <w:r>
        <w:rPr>
          <w:rFonts w:hint="default" w:ascii="Times New Roman" w:hAnsi="Times New Roman" w:eastAsia="方正仿宋简体" w:cs="Times New Roman"/>
          <w:b/>
          <w:bCs/>
          <w:sz w:val="32"/>
          <w:szCs w:val="32"/>
          <w:lang w:eastAsia="zh-CN"/>
        </w:rPr>
        <w:t>区经济发展局</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财政局、</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行政审批服务局、</w:t>
      </w:r>
      <w:r>
        <w:rPr>
          <w:rFonts w:hint="default"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市场监管</w:t>
      </w:r>
      <w:r>
        <w:rPr>
          <w:rFonts w:hint="default" w:ascii="Times New Roman" w:hAnsi="Times New Roman" w:eastAsia="方正仿宋简体" w:cs="Times New Roman"/>
          <w:b/>
          <w:bCs/>
          <w:sz w:val="32"/>
          <w:szCs w:val="32"/>
          <w:lang w:eastAsia="zh-CN"/>
        </w:rPr>
        <w:t>中心</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公安</w:t>
      </w:r>
      <w:r>
        <w:rPr>
          <w:rFonts w:hint="eastAsia" w:ascii="Times New Roman" w:hAnsi="Times New Roman" w:eastAsia="方正仿宋简体" w:cs="Times New Roman"/>
          <w:b/>
          <w:bCs/>
          <w:sz w:val="32"/>
          <w:szCs w:val="32"/>
          <w:lang w:eastAsia="zh-CN"/>
        </w:rPr>
        <w:t>局经开区</w:t>
      </w:r>
      <w:r>
        <w:rPr>
          <w:rFonts w:hint="default" w:ascii="Times New Roman" w:hAnsi="Times New Roman" w:eastAsia="方正仿宋简体" w:cs="Times New Roman"/>
          <w:b/>
          <w:bCs/>
          <w:sz w:val="32"/>
          <w:szCs w:val="32"/>
          <w:lang w:eastAsia="zh-CN"/>
        </w:rPr>
        <w:t>分</w:t>
      </w:r>
      <w:r>
        <w:rPr>
          <w:rFonts w:hint="default" w:ascii="Times New Roman" w:hAnsi="Times New Roman" w:eastAsia="方正仿宋简体" w:cs="Times New Roman"/>
          <w:b/>
          <w:bCs/>
          <w:sz w:val="32"/>
          <w:szCs w:val="32"/>
        </w:rPr>
        <w:t>局、</w:t>
      </w:r>
      <w:r>
        <w:rPr>
          <w:rFonts w:hint="eastAsia" w:ascii="Times New Roman" w:hAnsi="Times New Roman" w:eastAsia="方正仿宋简体" w:cs="Times New Roman"/>
          <w:b/>
          <w:bCs/>
          <w:sz w:val="32"/>
          <w:szCs w:val="32"/>
          <w:lang w:eastAsia="zh-CN"/>
        </w:rPr>
        <w:t>市</w:t>
      </w:r>
      <w:r>
        <w:rPr>
          <w:rFonts w:hint="default" w:ascii="Times New Roman" w:hAnsi="Times New Roman" w:eastAsia="方正仿宋简体" w:cs="Times New Roman"/>
          <w:b/>
          <w:bCs/>
          <w:sz w:val="32"/>
          <w:szCs w:val="32"/>
        </w:rPr>
        <w:t>税务</w:t>
      </w:r>
      <w:r>
        <w:rPr>
          <w:rFonts w:hint="eastAsia" w:ascii="Times New Roman" w:hAnsi="Times New Roman" w:eastAsia="方正仿宋简体" w:cs="Times New Roman"/>
          <w:b/>
          <w:bCs/>
          <w:sz w:val="32"/>
          <w:szCs w:val="32"/>
          <w:lang w:eastAsia="zh-CN"/>
        </w:rPr>
        <w:t>局经开区</w:t>
      </w:r>
      <w:r>
        <w:rPr>
          <w:rFonts w:hint="default" w:ascii="Times New Roman" w:hAnsi="Times New Roman" w:eastAsia="方正仿宋简体" w:cs="Times New Roman"/>
          <w:b/>
          <w:bCs/>
          <w:sz w:val="32"/>
          <w:szCs w:val="32"/>
          <w:lang w:eastAsia="zh-CN"/>
        </w:rPr>
        <w:t>分</w:t>
      </w:r>
      <w:r>
        <w:rPr>
          <w:rFonts w:hint="default" w:ascii="Times New Roman" w:hAnsi="Times New Roman" w:eastAsia="方正仿宋简体" w:cs="Times New Roman"/>
          <w:b/>
          <w:bCs/>
          <w:sz w:val="32"/>
          <w:szCs w:val="32"/>
        </w:rPr>
        <w:t>局等部门主要负责人为成员的全面推行证明事项告知承诺制工作领导小组，建立工作协调机制，切实加强组织领导</w:t>
      </w:r>
      <w:r>
        <w:rPr>
          <w:rFonts w:hint="default" w:ascii="Times New Roman" w:hAnsi="Times New Roman" w:eastAsia="方正仿宋简体" w:cs="Times New Roman"/>
          <w:b/>
          <w:bCs/>
          <w:sz w:val="32"/>
          <w:szCs w:val="32"/>
          <w:lang w:eastAsia="zh-CN"/>
        </w:rPr>
        <w:t>。区党政办公室</w:t>
      </w:r>
      <w:r>
        <w:rPr>
          <w:rFonts w:hint="default" w:ascii="Times New Roman" w:hAnsi="Times New Roman" w:eastAsia="方正仿宋简体" w:cs="Times New Roman"/>
          <w:b/>
          <w:bCs/>
          <w:sz w:val="32"/>
          <w:szCs w:val="32"/>
        </w:rPr>
        <w:t>要做好全面推行证明事项告知承诺制的指导协调、监督检查和跟踪评估等工作</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14</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强化风险防范</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lang w:eastAsia="zh-CN"/>
        </w:rPr>
        <w:t>区直各部门、单位</w:t>
      </w:r>
      <w:r>
        <w:rPr>
          <w:rFonts w:hint="default" w:ascii="Times New Roman" w:hAnsi="Times New Roman" w:eastAsia="方正仿宋简体" w:cs="Times New Roman"/>
          <w:b/>
          <w:bCs/>
          <w:sz w:val="32"/>
          <w:szCs w:val="32"/>
        </w:rPr>
        <w:t>要将风险防范贯穿推行证明事项告知承诺制工作始终</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综合考虑法律风险、安全风险、社会风险等，制定防控措施</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对涉及经济利益价值较高、事中事后核查难度较大的事项，探索引入责任保险制度</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15</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加强培训指导</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各相关单位要组织开展告知承诺制宣传、学习培训，准确把握政策方向和工作要求，保障推进工作依法、有序、稳妥开展</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要及时研究、解决工作中遇到的普遍性问题，适时复制推广典型经验做法，切实将告知承诺制落到实处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行政机关制定出台的配套制度、格式文本等及时向</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lang w:eastAsia="zh-CN"/>
        </w:rPr>
        <w:t>党政办公室</w:t>
      </w:r>
      <w:r>
        <w:rPr>
          <w:rFonts w:hint="default" w:ascii="Times New Roman" w:hAnsi="Times New Roman" w:eastAsia="方正仿宋简体" w:cs="Times New Roman"/>
          <w:b/>
          <w:bCs/>
          <w:sz w:val="32"/>
          <w:szCs w:val="32"/>
        </w:rPr>
        <w:t>备案</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16</w:t>
      </w:r>
      <w:r>
        <w:rPr>
          <w:rFonts w:hint="default" w:ascii="Times New Roman" w:hAnsi="Times New Roman" w:eastAsia="方正楷体简体" w:cs="Times New Roman"/>
          <w:b/>
          <w:bCs/>
          <w:sz w:val="32"/>
          <w:szCs w:val="32"/>
          <w:lang w:eastAsia="zh-CN"/>
        </w:rPr>
        <w:t xml:space="preserve">. </w:t>
      </w:r>
      <w:r>
        <w:rPr>
          <w:rFonts w:hint="default" w:ascii="Times New Roman" w:hAnsi="Times New Roman" w:eastAsia="方正楷体简体" w:cs="Times New Roman"/>
          <w:b/>
          <w:bCs/>
          <w:sz w:val="32"/>
          <w:szCs w:val="32"/>
        </w:rPr>
        <w:t>加强督察激励</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b/>
          <w:bCs/>
          <w:sz w:val="32"/>
          <w:szCs w:val="32"/>
        </w:rPr>
        <w:t>要将推进情况列为年度法治政府建设督察内容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建立健全改革容错机制，属于合理容错情形的，对相关单位及人员依纪依法免除相关责任或者减轻、从轻处理</w:t>
      </w:r>
      <w:r>
        <w:rPr>
          <w:rFonts w:hint="default" w:ascii="Times New Roman" w:hAnsi="Times New Roman" w:eastAsia="方正仿宋简体" w:cs="Times New Roman"/>
          <w:b/>
          <w:bCs/>
          <w:sz w:val="32"/>
          <w:szCs w:val="32"/>
          <w:lang w:eastAsia="zh-CN"/>
        </w:rPr>
        <w:t>。区党政办公室</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区组织部对</w:t>
      </w:r>
      <w:r>
        <w:rPr>
          <w:rFonts w:hint="default" w:ascii="Times New Roman" w:hAnsi="Times New Roman" w:eastAsia="方正仿宋简体" w:cs="Times New Roman"/>
          <w:b/>
          <w:bCs/>
          <w:sz w:val="32"/>
          <w:szCs w:val="32"/>
        </w:rPr>
        <w:t>工作中表现突出、企业和群众评价满意度高的单位及人员，按照有关规定予以表彰和奖励</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948" w:hanging="948" w:hangingChars="3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附件：</w:t>
      </w:r>
      <w:r>
        <w:rPr>
          <w:rFonts w:hint="default" w:ascii="Times New Roman" w:hAnsi="Times New Roman" w:eastAsia="方正仿宋简体" w:cs="Times New Roman"/>
          <w:b/>
          <w:bCs/>
          <w:sz w:val="32"/>
          <w:szCs w:val="32"/>
          <w:lang w:eastAsia="zh-CN"/>
        </w:rPr>
        <w:t>济宁经济技术开发区</w:t>
      </w:r>
      <w:r>
        <w:rPr>
          <w:rFonts w:hint="default" w:ascii="Times New Roman" w:hAnsi="Times New Roman" w:eastAsia="方正仿宋简体" w:cs="Times New Roman"/>
          <w:b/>
          <w:bCs/>
          <w:sz w:val="32"/>
          <w:szCs w:val="32"/>
        </w:rPr>
        <w:t>全面推行证明事项告知承诺制工作领导小组组成人员名单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济宁经济技术开发区</w:t>
      </w:r>
      <w:r>
        <w:rPr>
          <w:rFonts w:hint="default" w:ascii="Times New Roman" w:hAnsi="Times New Roman" w:eastAsia="方正小标宋简体" w:cs="Times New Roman"/>
          <w:b/>
          <w:bCs/>
          <w:sz w:val="44"/>
          <w:szCs w:val="44"/>
        </w:rPr>
        <w:t>全面推行证明事项告知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承诺制工作领导小组组成人员名单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eastAsia="zh-CN"/>
        </w:rPr>
        <w:t>组</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lang w:eastAsia="zh-CN"/>
        </w:rPr>
        <w:t>长：</w:t>
      </w:r>
      <w:r>
        <w:rPr>
          <w:rFonts w:hint="default" w:ascii="Times New Roman" w:hAnsi="Times New Roman" w:eastAsia="方正仿宋简体" w:cs="Times New Roman"/>
          <w:b/>
          <w:bCs/>
          <w:sz w:val="32"/>
          <w:szCs w:val="32"/>
          <w:lang w:val="en-US" w:eastAsia="zh-CN"/>
        </w:rPr>
        <w:t>李</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朋</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区党工委副书记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eastAsia="zh-CN"/>
        </w:rPr>
        <w:t>副组长：</w:t>
      </w:r>
      <w:r>
        <w:rPr>
          <w:rFonts w:hint="default" w:ascii="Times New Roman" w:hAnsi="Times New Roman" w:eastAsia="方正仿宋简体" w:cs="Times New Roman"/>
          <w:b/>
          <w:bCs/>
          <w:sz w:val="32"/>
          <w:szCs w:val="32"/>
          <w:lang w:val="en-US" w:eastAsia="zh-CN"/>
        </w:rPr>
        <w:t>许振峰</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区党政办公室主任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eastAsia="zh-CN"/>
        </w:rPr>
        <w:t>成</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lang w:eastAsia="zh-CN"/>
        </w:rPr>
        <w:t>员：</w:t>
      </w:r>
      <w:r>
        <w:rPr>
          <w:rFonts w:hint="default" w:ascii="Times New Roman" w:hAnsi="Times New Roman" w:eastAsia="方正仿宋简体" w:cs="Times New Roman"/>
          <w:b/>
          <w:bCs/>
          <w:sz w:val="32"/>
          <w:szCs w:val="32"/>
          <w:lang w:val="en-US" w:eastAsia="zh-CN"/>
        </w:rPr>
        <w:t>秦</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峰</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区人力资源部副部长、</w:t>
      </w:r>
      <w:r>
        <w:rPr>
          <w:rFonts w:hint="eastAsia" w:ascii="Times New Roman" w:hAnsi="Times New Roman" w:eastAsia="方正仿宋简体" w:cs="Times New Roman"/>
          <w:b/>
          <w:bCs/>
          <w:sz w:val="32"/>
          <w:szCs w:val="32"/>
          <w:lang w:val="en-US" w:eastAsia="zh-CN"/>
        </w:rPr>
        <w:t>党员教育中心主任</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刘晓伟</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区经济发展局局长</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张力维</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区财政局局长</w:t>
      </w:r>
      <w:r>
        <w:rPr>
          <w:rFonts w:hint="eastAsia" w:ascii="Times New Roman" w:hAnsi="Times New Roman" w:eastAsia="方正仿宋简体" w:cs="Times New Roman"/>
          <w:b/>
          <w:bCs/>
          <w:spacing w:val="-6"/>
          <w:sz w:val="32"/>
          <w:szCs w:val="32"/>
          <w:lang w:val="en-US" w:eastAsia="zh-CN"/>
        </w:rPr>
        <w:t>、祥城投资集团公司党委书记</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旭</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区行政审批</w:t>
      </w:r>
      <w:r>
        <w:rPr>
          <w:rFonts w:hint="eastAsia" w:ascii="Times New Roman" w:hAnsi="Times New Roman" w:eastAsia="方正仿宋简体" w:cs="Times New Roman"/>
          <w:b/>
          <w:bCs/>
          <w:sz w:val="32"/>
          <w:szCs w:val="32"/>
          <w:lang w:val="en-US" w:eastAsia="zh-CN"/>
        </w:rPr>
        <w:t>服务</w:t>
      </w:r>
      <w:r>
        <w:rPr>
          <w:rFonts w:hint="default" w:ascii="Times New Roman" w:hAnsi="Times New Roman" w:eastAsia="方正仿宋简体" w:cs="Times New Roman"/>
          <w:b/>
          <w:bCs/>
          <w:sz w:val="32"/>
          <w:szCs w:val="32"/>
          <w:lang w:val="en-US" w:eastAsia="zh-CN"/>
        </w:rPr>
        <w:t>局局长</w:t>
      </w:r>
    </w:p>
    <w:p>
      <w:pPr>
        <w:keepNext w:val="0"/>
        <w:keepLines w:val="0"/>
        <w:pageBreakBefore w:val="0"/>
        <w:widowControl w:val="0"/>
        <w:kinsoku/>
        <w:wordWrap/>
        <w:overflowPunct/>
        <w:topLinePunct w:val="0"/>
        <w:autoSpaceDE/>
        <w:autoSpaceDN/>
        <w:bidi w:val="0"/>
        <w:adjustRightInd/>
        <w:snapToGrid/>
        <w:spacing w:line="600" w:lineRule="exact"/>
        <w:ind w:left="3142" w:leftChars="912" w:hanging="1264" w:hangingChars="400"/>
        <w:textAlignment w:val="auto"/>
        <w:rPr>
          <w:rFonts w:hint="eastAsia" w:ascii="方正仿宋简体" w:hAnsi="方正仿宋简体" w:eastAsia="方正仿宋简体" w:cs="方正仿宋简体"/>
          <w:b/>
          <w:bCs/>
          <w:sz w:val="32"/>
          <w:szCs w:val="40"/>
        </w:rPr>
      </w:pPr>
      <w:r>
        <w:rPr>
          <w:rFonts w:hint="eastAsia" w:ascii="方正仿宋简体" w:hAnsi="方正仿宋简体" w:eastAsia="方正仿宋简体" w:cs="方正仿宋简体"/>
          <w:b/>
          <w:bCs/>
          <w:sz w:val="32"/>
          <w:szCs w:val="40"/>
        </w:rPr>
        <w:t xml:space="preserve">王晓东 </w:t>
      </w:r>
      <w:r>
        <w:rPr>
          <w:rFonts w:hint="eastAsia" w:ascii="方正仿宋简体" w:hAnsi="方正仿宋简体" w:eastAsia="方正仿宋简体" w:cs="方正仿宋简体"/>
          <w:b/>
          <w:bCs/>
          <w:sz w:val="32"/>
          <w:szCs w:val="40"/>
          <w:lang w:val="en-US" w:eastAsia="zh-CN"/>
        </w:rPr>
        <w:t xml:space="preserve"> </w:t>
      </w:r>
      <w:r>
        <w:rPr>
          <w:rFonts w:hint="eastAsia" w:ascii="方正仿宋简体" w:hAnsi="方正仿宋简体" w:eastAsia="方正仿宋简体" w:cs="方正仿宋简体"/>
          <w:b/>
          <w:bCs/>
          <w:spacing w:val="-6"/>
          <w:sz w:val="32"/>
          <w:szCs w:val="40"/>
        </w:rPr>
        <w:t>区发展软环境保障局副局长、市场监管中心</w:t>
      </w:r>
      <w:r>
        <w:rPr>
          <w:rFonts w:hint="eastAsia" w:ascii="方正仿宋简体" w:hAnsi="方正仿宋简体" w:eastAsia="方正仿宋简体" w:cs="方正仿宋简体"/>
          <w:b/>
          <w:bCs/>
          <w:sz w:val="32"/>
          <w:szCs w:val="40"/>
        </w:rPr>
        <w:t>主任</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eastAsia" w:ascii="方正仿宋简体" w:hAnsi="方正仿宋简体" w:eastAsia="方正仿宋简体" w:cs="方正仿宋简体"/>
          <w:b/>
          <w:bCs/>
          <w:sz w:val="32"/>
          <w:szCs w:val="40"/>
        </w:rPr>
      </w:pPr>
      <w:r>
        <w:rPr>
          <w:rFonts w:hint="eastAsia" w:ascii="方正仿宋简体" w:hAnsi="方正仿宋简体" w:eastAsia="方正仿宋简体" w:cs="方正仿宋简体"/>
          <w:b/>
          <w:bCs/>
          <w:sz w:val="32"/>
          <w:szCs w:val="40"/>
        </w:rPr>
        <w:t xml:space="preserve">黄筱倩 </w:t>
      </w:r>
      <w:r>
        <w:rPr>
          <w:rFonts w:hint="eastAsia" w:ascii="方正仿宋简体" w:hAnsi="方正仿宋简体" w:eastAsia="方正仿宋简体" w:cs="方正仿宋简体"/>
          <w:b/>
          <w:bCs/>
          <w:sz w:val="32"/>
          <w:szCs w:val="40"/>
          <w:lang w:val="en-US" w:eastAsia="zh-CN"/>
        </w:rPr>
        <w:t xml:space="preserve"> </w:t>
      </w:r>
      <w:r>
        <w:rPr>
          <w:rFonts w:hint="eastAsia" w:ascii="方正仿宋简体" w:hAnsi="方正仿宋简体" w:eastAsia="方正仿宋简体" w:cs="方正仿宋简体"/>
          <w:b/>
          <w:bCs/>
          <w:sz w:val="32"/>
          <w:szCs w:val="40"/>
        </w:rPr>
        <w:t>市公安局经开区分局局长</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马福运</w:t>
      </w:r>
      <w:r>
        <w:rPr>
          <w:rFonts w:hint="eastAsia" w:ascii="Times New Roman" w:hAnsi="Times New Roman" w:eastAsia="方正仿宋简体" w:cs="Times New Roman"/>
          <w:b/>
          <w:bCs/>
          <w:sz w:val="32"/>
          <w:szCs w:val="32"/>
          <w:lang w:val="en-US" w:eastAsia="zh-CN"/>
        </w:rPr>
        <w:t xml:space="preserve">  市</w:t>
      </w:r>
      <w:r>
        <w:rPr>
          <w:rFonts w:hint="default" w:ascii="Times New Roman" w:hAnsi="Times New Roman" w:eastAsia="方正仿宋简体" w:cs="Times New Roman"/>
          <w:b/>
          <w:bCs/>
          <w:sz w:val="32"/>
          <w:szCs w:val="32"/>
          <w:lang w:val="en-US" w:eastAsia="zh-CN"/>
        </w:rPr>
        <w:t>税务</w:t>
      </w:r>
      <w:r>
        <w:rPr>
          <w:rFonts w:hint="eastAsia" w:ascii="Times New Roman" w:hAnsi="Times New Roman" w:eastAsia="方正仿宋简体" w:cs="Times New Roman"/>
          <w:b/>
          <w:bCs/>
          <w:sz w:val="32"/>
          <w:szCs w:val="32"/>
          <w:lang w:val="en-US" w:eastAsia="zh-CN"/>
        </w:rPr>
        <w:t>局经开区</w:t>
      </w:r>
      <w:r>
        <w:rPr>
          <w:rFonts w:hint="default" w:ascii="Times New Roman" w:hAnsi="Times New Roman" w:eastAsia="方正仿宋简体" w:cs="Times New Roman"/>
          <w:b/>
          <w:bCs/>
          <w:sz w:val="32"/>
          <w:szCs w:val="32"/>
          <w:lang w:val="en-US" w:eastAsia="zh-CN"/>
        </w:rPr>
        <w:t>分局局长</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梁兵兵  </w:t>
      </w:r>
      <w:r>
        <w:rPr>
          <w:rFonts w:hint="default" w:ascii="Times New Roman" w:hAnsi="Times New Roman" w:eastAsia="方正仿宋简体" w:cs="Times New Roman"/>
          <w:b/>
          <w:bCs/>
          <w:sz w:val="32"/>
          <w:szCs w:val="32"/>
          <w:lang w:val="en-US" w:eastAsia="zh-CN"/>
        </w:rPr>
        <w:t>区党政办公室副主任</w:t>
      </w:r>
      <w:r>
        <w:rPr>
          <w:rFonts w:hint="eastAsia" w:ascii="Times New Roman" w:hAnsi="Times New Roman" w:eastAsia="方正仿宋简体" w:cs="Times New Roman"/>
          <w:b/>
          <w:bCs/>
          <w:sz w:val="32"/>
          <w:szCs w:val="32"/>
          <w:lang w:val="en-US" w:eastAsia="zh-CN"/>
        </w:rPr>
        <w:t>、改革办主任</w:t>
      </w:r>
    </w:p>
    <w:p>
      <w:pPr>
        <w:keepNext w:val="0"/>
        <w:keepLines w:val="0"/>
        <w:pageBreakBefore w:val="0"/>
        <w:widowControl w:val="0"/>
        <w:kinsoku/>
        <w:wordWrap/>
        <w:overflowPunct/>
        <w:topLinePunct w:val="0"/>
        <w:autoSpaceDE/>
        <w:autoSpaceDN/>
        <w:bidi w:val="0"/>
        <w:adjustRightInd/>
        <w:snapToGrid/>
        <w:spacing w:line="600" w:lineRule="exact"/>
        <w:ind w:firstLine="1896"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高</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战</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区党政办公室副主任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领导小组办公室设在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党政办公室，许振峰兼任办公室主任，高战兼任办公室副主任。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both"/>
        <w:textAlignment w:val="auto"/>
        <w:outlineLvl w:val="9"/>
        <w:rPr>
          <w:rFonts w:eastAsia="仿宋_GB2312"/>
          <w:b/>
          <w:bCs/>
          <w:sz w:val="28"/>
          <w:szCs w:val="28"/>
        </w:rPr>
        <w:sectPr>
          <w:footerReference r:id="rId3" w:type="default"/>
          <w:pgSz w:w="11906" w:h="16838"/>
          <w:pgMar w:top="2098" w:right="1531" w:bottom="2098" w:left="1531" w:header="851" w:footer="992" w:gutter="0"/>
          <w:pgNumType w:fmt="decimal"/>
          <w:cols w:space="425" w:num="1"/>
          <w:docGrid w:type="linesAndChars" w:linePitch="574" w:charSpace="-886"/>
        </w:sectPr>
      </w:pPr>
    </w:p>
    <w:tbl>
      <w:tblPr>
        <w:tblStyle w:val="4"/>
        <w:tblpPr w:leftFromText="180" w:rightFromText="180" w:vertAnchor="text" w:horzAnchor="page" w:tblpX="1548" w:tblpY="11972"/>
        <w:tblOverlap w:val="never"/>
        <w:tblW w:w="0" w:type="auto"/>
        <w:tblInd w:w="0" w:type="dxa"/>
        <w:tblLayout w:type="fixed"/>
        <w:tblCellMar>
          <w:top w:w="0" w:type="dxa"/>
          <w:left w:w="108" w:type="dxa"/>
          <w:bottom w:w="0" w:type="dxa"/>
          <w:right w:w="108" w:type="dxa"/>
        </w:tblCellMar>
      </w:tblPr>
      <w:tblGrid>
        <w:gridCol w:w="8984"/>
      </w:tblGrid>
      <w:tr>
        <w:tblPrEx>
          <w:tblCellMar>
            <w:top w:w="0" w:type="dxa"/>
            <w:left w:w="108" w:type="dxa"/>
            <w:bottom w:w="0" w:type="dxa"/>
            <w:right w:w="108" w:type="dxa"/>
          </w:tblCellMar>
        </w:tblPrEx>
        <w:trPr>
          <w:trHeight w:val="574" w:hRule="atLeast"/>
        </w:trPr>
        <w:tc>
          <w:tcPr>
            <w:tcW w:w="8984" w:type="dxa"/>
            <w:tcBorders>
              <w:top w:val="single" w:color="auto" w:sz="4" w:space="0"/>
              <w:left w:val="nil"/>
              <w:bottom w:val="single" w:color="auto" w:sz="4" w:space="0"/>
              <w:right w:val="nil"/>
            </w:tcBorders>
            <w:noWrap w:val="0"/>
            <w:vAlign w:val="top"/>
          </w:tcPr>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both"/>
              <w:textAlignment w:val="auto"/>
              <w:outlineLvl w:val="9"/>
              <w:rPr>
                <w:rFonts w:eastAsia="仿宋_GB2312"/>
                <w:b/>
                <w:bCs/>
              </w:rPr>
            </w:pPr>
            <w:r>
              <w:rPr>
                <w:rFonts w:eastAsia="仿宋_GB2312"/>
                <w:b/>
                <w:bCs/>
                <w:sz w:val="28"/>
                <w:szCs w:val="28"/>
              </w:rPr>
              <w:t>济宁经济</w:t>
            </w:r>
            <w:r>
              <w:rPr>
                <w:rFonts w:hint="eastAsia" w:eastAsia="仿宋_GB2312"/>
                <w:b/>
                <w:bCs/>
                <w:sz w:val="28"/>
                <w:szCs w:val="28"/>
                <w:lang w:eastAsia="zh-CN"/>
              </w:rPr>
              <w:t>技术</w:t>
            </w:r>
            <w:r>
              <w:rPr>
                <w:rFonts w:eastAsia="仿宋_GB2312"/>
                <w:b/>
                <w:bCs/>
                <w:sz w:val="28"/>
                <w:szCs w:val="28"/>
              </w:rPr>
              <w:t xml:space="preserve">开发区党政办公室          </w:t>
            </w:r>
            <w:r>
              <w:rPr>
                <w:rFonts w:hint="eastAsia" w:eastAsia="仿宋_GB2312"/>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w:t>
            </w:r>
            <w:r>
              <w:rPr>
                <w:rFonts w:hint="eastAsia" w:ascii="Times New Roman" w:hAnsi="Times New Roman" w:eastAsia="仿宋_GB2312" w:cs="Times New Roman"/>
                <w:b/>
                <w:bCs/>
                <w:sz w:val="28"/>
                <w:szCs w:val="28"/>
                <w:lang w:val="en-US" w:eastAsia="zh-CN"/>
              </w:rPr>
              <w:t>21</w:t>
            </w:r>
            <w:r>
              <w:rPr>
                <w:rFonts w:hint="default" w:ascii="Times New Roman" w:hAnsi="Times New Roman" w:eastAsia="仿宋_GB2312" w:cs="Times New Roman"/>
                <w:b/>
                <w:bCs/>
                <w:sz w:val="28"/>
                <w:szCs w:val="28"/>
              </w:rPr>
              <w:t>年</w:t>
            </w:r>
            <w:r>
              <w:rPr>
                <w:rFonts w:hint="eastAsia"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月</w:t>
            </w:r>
            <w:r>
              <w:rPr>
                <w:rFonts w:hint="eastAsia" w:ascii="Times New Roman" w:hAnsi="Times New Roman" w:eastAsia="仿宋_GB2312" w:cs="Times New Roman"/>
                <w:b/>
                <w:bCs/>
                <w:sz w:val="28"/>
                <w:szCs w:val="28"/>
                <w:lang w:val="en-US" w:eastAsia="zh-CN"/>
              </w:rPr>
              <w:t>8</w:t>
            </w:r>
            <w:bookmarkStart w:id="0" w:name="_GoBack"/>
            <w:bookmarkEnd w:id="0"/>
            <w:r>
              <w:rPr>
                <w:rFonts w:hint="default" w:ascii="Times New Roman" w:hAnsi="Times New Roman" w:eastAsia="仿宋_GB2312" w:cs="Times New Roman"/>
                <w:b/>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简体" w:cs="Times New Roman"/>
          <w:b/>
          <w:bCs/>
          <w:sz w:val="32"/>
          <w:szCs w:val="32"/>
          <w:lang w:val="en-US" w:eastAsia="zh-CN"/>
        </w:rPr>
      </w:pPr>
    </w:p>
    <w:sectPr>
      <w:footerReference r:id="rId4" w:type="default"/>
      <w:pgSz w:w="11906" w:h="16838"/>
      <w:pgMar w:top="2098" w:right="1531" w:bottom="2098" w:left="1531" w:header="851" w:footer="992" w:gutter="0"/>
      <w:pgNumType w:fmt="decimal"/>
      <w:cols w:space="425" w:num="1"/>
      <w:docGrid w:type="linesAndChars" w:linePitch="574"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-528320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6"/>
                              <w:szCs w:val="21"/>
                              <w:lang w:eastAsia="zh-CN"/>
                            </w:rPr>
                          </w:pPr>
                          <w:r>
                            <w:rPr>
                              <w:rStyle w:val="6"/>
                              <w:b/>
                              <w:sz w:val="24"/>
                              <w:szCs w:val="24"/>
                            </w:rPr>
                            <w:t xml:space="preserve">— </w:t>
                          </w:r>
                          <w:r>
                            <w:rPr>
                              <w:rFonts w:hint="default" w:ascii="Times New Roman" w:hAnsi="Times New Roman" w:cs="Times New Roman"/>
                              <w:b/>
                              <w:sz w:val="24"/>
                              <w:szCs w:val="24"/>
                            </w:rPr>
                            <w:fldChar w:fldCharType="begin"/>
                          </w:r>
                          <w:r>
                            <w:rPr>
                              <w:rStyle w:val="6"/>
                              <w:rFonts w:hint="default" w:ascii="Times New Roman" w:hAnsi="Times New Roman" w:cs="Times New Roman"/>
                              <w:b/>
                              <w:sz w:val="24"/>
                              <w:szCs w:val="24"/>
                            </w:rPr>
                            <w:instrText xml:space="preserve">PAGE  </w:instrText>
                          </w:r>
                          <w:r>
                            <w:rPr>
                              <w:rFonts w:hint="default" w:ascii="Times New Roman" w:hAnsi="Times New Roman" w:cs="Times New Roman"/>
                              <w:b/>
                              <w:sz w:val="24"/>
                              <w:szCs w:val="24"/>
                            </w:rPr>
                            <w:fldChar w:fldCharType="separate"/>
                          </w:r>
                          <w:r>
                            <w:rPr>
                              <w:rStyle w:val="6"/>
                              <w:rFonts w:hint="default" w:ascii="Times New Roman" w:hAnsi="Times New Roman" w:cs="Times New Roman"/>
                              <w:b/>
                              <w:sz w:val="24"/>
                              <w:szCs w:val="24"/>
                            </w:rPr>
                            <w:t>8</w:t>
                          </w:r>
                          <w:r>
                            <w:rPr>
                              <w:rFonts w:hint="default" w:ascii="Times New Roman" w:hAnsi="Times New Roman" w:cs="Times New Roman"/>
                              <w:b/>
                              <w:sz w:val="24"/>
                              <w:szCs w:val="24"/>
                            </w:rPr>
                            <w:fldChar w:fldCharType="end"/>
                          </w:r>
                          <w:r>
                            <w:rPr>
                              <w:rStyle w:val="6"/>
                              <w:b/>
                              <w:sz w:val="24"/>
                              <w:szCs w:val="24"/>
                            </w:rPr>
                            <w:t xml:space="preserve"> —</w:t>
                          </w:r>
                        </w:p>
                        <w:p>
                          <w:pPr>
                            <w:rPr>
                              <w:rFonts w:hint="eastAsia"/>
                              <w:lang w:eastAsia="zh-CN"/>
                            </w:rPr>
                          </w:pPr>
                        </w:p>
                        <w:p>
                          <w:pPr>
                            <w:rPr>
                              <w:rFonts w:hint="eastAsia"/>
                              <w:lang w:eastAsia="zh-CN"/>
                            </w:rPr>
                          </w:pP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6pt;height:144pt;width:144pt;mso-position-horizontal:outside;mso-position-horizontal-relative:margin;mso-wrap-style:none;z-index:251658240;mso-width-relative:page;mso-height-relative:page;" filled="f" stroked="f" coordsize="21600,21600" o:gfxdata="UEsDBAoAAAAAAIdO4kAAAAAAAAAAAAAAAAAEAAAAZHJzL1BLAwQUAAAACACHTuJAdVyevtUAAAAI&#10;AQAADwAAAGRycy9kb3ducmV2LnhtbE2PzU7DMBCE70i8g7VI3Fq7aYWsEKcSFeGIRNMDRzdekoB/&#10;IttNw9uznOC2uzOa/abaL86yGWMag1ewWQtg6LtgRt8rOLXNSgJLWXujbfCo4BsT7Ovbm0qXJlz9&#10;G87H3DMK8anUCoacp5Lz1A3odFqHCT1pHyE6nWmNPTdRXyncWV4I8cCdHj19GPSEhwG7r+PFKTg0&#10;bRtnTNG+40uz/Xx92uHzotT93UY8Asu45D8z/OITOtTEdA4XbxKzCqhIVrCS2wIYyYWUdDnTIHYS&#10;eF3x/wXqH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Vcnr7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6"/>
                        <w:szCs w:val="21"/>
                        <w:lang w:eastAsia="zh-CN"/>
                      </w:rPr>
                    </w:pPr>
                    <w:r>
                      <w:rPr>
                        <w:rStyle w:val="6"/>
                        <w:b/>
                        <w:sz w:val="24"/>
                        <w:szCs w:val="24"/>
                      </w:rPr>
                      <w:t xml:space="preserve">— </w:t>
                    </w:r>
                    <w:r>
                      <w:rPr>
                        <w:rFonts w:hint="default" w:ascii="Times New Roman" w:hAnsi="Times New Roman" w:cs="Times New Roman"/>
                        <w:b/>
                        <w:sz w:val="24"/>
                        <w:szCs w:val="24"/>
                      </w:rPr>
                      <w:fldChar w:fldCharType="begin"/>
                    </w:r>
                    <w:r>
                      <w:rPr>
                        <w:rStyle w:val="6"/>
                        <w:rFonts w:hint="default" w:ascii="Times New Roman" w:hAnsi="Times New Roman" w:cs="Times New Roman"/>
                        <w:b/>
                        <w:sz w:val="24"/>
                        <w:szCs w:val="24"/>
                      </w:rPr>
                      <w:instrText xml:space="preserve">PAGE  </w:instrText>
                    </w:r>
                    <w:r>
                      <w:rPr>
                        <w:rFonts w:hint="default" w:ascii="Times New Roman" w:hAnsi="Times New Roman" w:cs="Times New Roman"/>
                        <w:b/>
                        <w:sz w:val="24"/>
                        <w:szCs w:val="24"/>
                      </w:rPr>
                      <w:fldChar w:fldCharType="separate"/>
                    </w:r>
                    <w:r>
                      <w:rPr>
                        <w:rStyle w:val="6"/>
                        <w:rFonts w:hint="default" w:ascii="Times New Roman" w:hAnsi="Times New Roman" w:cs="Times New Roman"/>
                        <w:b/>
                        <w:sz w:val="24"/>
                        <w:szCs w:val="24"/>
                      </w:rPr>
                      <w:t>8</w:t>
                    </w:r>
                    <w:r>
                      <w:rPr>
                        <w:rFonts w:hint="default" w:ascii="Times New Roman" w:hAnsi="Times New Roman" w:cs="Times New Roman"/>
                        <w:b/>
                        <w:sz w:val="24"/>
                        <w:szCs w:val="24"/>
                      </w:rPr>
                      <w:fldChar w:fldCharType="end"/>
                    </w:r>
                    <w:r>
                      <w:rPr>
                        <w:rStyle w:val="6"/>
                        <w:b/>
                        <w:sz w:val="24"/>
                        <w:szCs w:val="24"/>
                      </w:rPr>
                      <w:t xml:space="preserve"> —</w:t>
                    </w:r>
                  </w:p>
                  <w:p>
                    <w:pPr>
                      <w:rPr>
                        <w:rFonts w:hint="eastAsia"/>
                        <w:lang w:eastAsia="zh-CN"/>
                      </w:rPr>
                    </w:pPr>
                  </w:p>
                  <w:p>
                    <w:pPr>
                      <w:rPr>
                        <w:rFonts w:hint="eastAsia"/>
                        <w:lang w:eastAsia="zh-CN"/>
                      </w:rPr>
                    </w:pPr>
                  </w:p>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3"/>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C3"/>
    <w:rsid w:val="001B28A3"/>
    <w:rsid w:val="002F00F0"/>
    <w:rsid w:val="005D0449"/>
    <w:rsid w:val="00727226"/>
    <w:rsid w:val="007515C6"/>
    <w:rsid w:val="00845F3B"/>
    <w:rsid w:val="00984BC3"/>
    <w:rsid w:val="009B0382"/>
    <w:rsid w:val="00A30386"/>
    <w:rsid w:val="00A50A96"/>
    <w:rsid w:val="00D014C4"/>
    <w:rsid w:val="00EB3524"/>
    <w:rsid w:val="04D3345B"/>
    <w:rsid w:val="076F25B6"/>
    <w:rsid w:val="0B550EDE"/>
    <w:rsid w:val="0B8B1ED7"/>
    <w:rsid w:val="0F1858F8"/>
    <w:rsid w:val="0F912BAE"/>
    <w:rsid w:val="119A5300"/>
    <w:rsid w:val="143A15B2"/>
    <w:rsid w:val="16067CCF"/>
    <w:rsid w:val="176B220B"/>
    <w:rsid w:val="18B47D2E"/>
    <w:rsid w:val="18E43F8E"/>
    <w:rsid w:val="19C47593"/>
    <w:rsid w:val="1B973198"/>
    <w:rsid w:val="1BA83056"/>
    <w:rsid w:val="1FC22AD4"/>
    <w:rsid w:val="21346F42"/>
    <w:rsid w:val="2239275D"/>
    <w:rsid w:val="22662A44"/>
    <w:rsid w:val="234A15B4"/>
    <w:rsid w:val="2500645D"/>
    <w:rsid w:val="26C13366"/>
    <w:rsid w:val="280F6562"/>
    <w:rsid w:val="287658B4"/>
    <w:rsid w:val="2A4B26A2"/>
    <w:rsid w:val="2FBA728B"/>
    <w:rsid w:val="31BE7BDB"/>
    <w:rsid w:val="34821F8F"/>
    <w:rsid w:val="34A96E35"/>
    <w:rsid w:val="358C4C7D"/>
    <w:rsid w:val="36084329"/>
    <w:rsid w:val="36AD3A64"/>
    <w:rsid w:val="36E7469A"/>
    <w:rsid w:val="377E49F9"/>
    <w:rsid w:val="3B3B09FC"/>
    <w:rsid w:val="3D0025F8"/>
    <w:rsid w:val="3E8F010C"/>
    <w:rsid w:val="3F5976EA"/>
    <w:rsid w:val="41D70E10"/>
    <w:rsid w:val="4450498A"/>
    <w:rsid w:val="44751341"/>
    <w:rsid w:val="46252407"/>
    <w:rsid w:val="4ACB067B"/>
    <w:rsid w:val="4D49634A"/>
    <w:rsid w:val="4FB71D92"/>
    <w:rsid w:val="51893787"/>
    <w:rsid w:val="549F7B72"/>
    <w:rsid w:val="566370E2"/>
    <w:rsid w:val="570827B6"/>
    <w:rsid w:val="59C464BD"/>
    <w:rsid w:val="5A077B29"/>
    <w:rsid w:val="5AE20B68"/>
    <w:rsid w:val="5B2B3E9B"/>
    <w:rsid w:val="5C6A3DBF"/>
    <w:rsid w:val="5E251F08"/>
    <w:rsid w:val="62F70417"/>
    <w:rsid w:val="648656B3"/>
    <w:rsid w:val="653178F9"/>
    <w:rsid w:val="6B624093"/>
    <w:rsid w:val="6B801B5D"/>
    <w:rsid w:val="6B830298"/>
    <w:rsid w:val="701D7927"/>
    <w:rsid w:val="715C6C94"/>
    <w:rsid w:val="72382C71"/>
    <w:rsid w:val="76C35445"/>
    <w:rsid w:val="79117468"/>
    <w:rsid w:val="79941543"/>
    <w:rsid w:val="7BBB04F5"/>
    <w:rsid w:val="7DE461C9"/>
    <w:rsid w:val="7EDA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541</Words>
  <Characters>3085</Characters>
  <Lines>25</Lines>
  <Paragraphs>7</Paragraphs>
  <TotalTime>61</TotalTime>
  <ScaleCrop>false</ScaleCrop>
  <LinksUpToDate>false</LinksUpToDate>
  <CharactersWithSpaces>3619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2021-05-11T00:59:00Z</dcterms:created>
  <dc:creator>方 眉宇</dc:creator>
  <cp:lastModifiedBy>❤、仙人掌</cp:lastModifiedBy>
  <cp:lastPrinted>2021-06-08T07:05:11Z</cp:lastPrinted>
  <dcterms:modified xsi:type="dcterms:W3CDTF">2021-06-08T09:07:54Z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9C870D4977D946E2A862B760AC517ECD</vt:lpwstr>
  </property>
  <property fmtid="{D5CDD505-2E9C-101B-9397-08002B2CF9AE}" pid="4" name="KSOSaveFontToCloudKey">
    <vt:lpwstr>192604861_cloud</vt:lpwstr>
  </property>
</Properties>
</file>