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8"/>
        <w:numPr>
          <w:ilvl w:val="0"/>
          <w:numId w:val="0"/>
        </w:numPr>
        <w:ind w:leftChars="0"/>
        <w:outlineLvl w:val="0"/>
        <w:rPr>
          <w:rFonts w:ascii="方正黑体简体" w:cs="方正黑体简体" w:eastAsia="方正黑体简体" w:hAnsi="方正黑体简体" w:hint="eastAsia"/>
          <w:color w:val="000000"/>
          <w:sz w:val="32"/>
          <w:szCs w:val="44"/>
          <w:lang w:eastAsia="zh-CN"/>
        </w:rPr>
      </w:pPr>
      <w:bookmarkStart w:id="0" w:name="_Toc25538"/>
      <w:r>
        <w:rPr>
          <w:rFonts w:ascii="方正黑体简体" w:cs="方正黑体简体" w:eastAsia="方正黑体简体" w:hAnsi="方正黑体简体" w:hint="eastAsia"/>
          <w:color w:val="000000"/>
          <w:sz w:val="32"/>
          <w:szCs w:val="44"/>
        </w:rPr>
        <w:t>附件</w:t>
      </w:r>
      <w:bookmarkEnd w:id="0"/>
      <w:r>
        <w:rPr>
          <w:rFonts w:ascii="方正黑体简体" w:cs="方正黑体简体" w:eastAsia="方正黑体简体" w:hAnsi="方正黑体简体" w:hint="eastAsia"/>
          <w:color w:val="000000"/>
          <w:sz w:val="32"/>
          <w:szCs w:val="44"/>
          <w:lang w:val="en-US" w:eastAsia="zh-CN"/>
        </w:rPr>
        <w:t>二：</w:t>
      </w:r>
    </w:p>
    <w:p>
      <w:pPr>
        <w:pStyle w:val="style0"/>
        <w:spacing w:lineRule="exact" w:line="600"/>
        <w:jc w:val="center"/>
        <w:rPr>
          <w:rFonts w:ascii="Times New Roman" w:cs="Times New Roman" w:eastAsia="方正小标宋简体" w:hAnsi="Times New Roman" w:hint="default"/>
          <w:color w:val="000000"/>
          <w:spacing w:val="-6"/>
          <w:sz w:val="44"/>
          <w:szCs w:val="44"/>
        </w:rPr>
      </w:pPr>
    </w:p>
    <w:bookmarkStart w:id="1" w:name="_Toc22356"/>
    <w:p>
      <w:pPr>
        <w:pStyle w:val="style0"/>
        <w:ind w:firstLine="883" w:firstLineChars="200"/>
        <w:jc w:val="center"/>
        <w:outlineLvl w:val="9"/>
        <w:rPr>
          <w:rFonts w:ascii="Times New Roman" w:cs="Times New Roman" w:eastAsia="方正小标宋简体" w:hAnsi="Times New Roman" w:hint="default"/>
          <w:b/>
          <w:bCs w:val="false"/>
          <w:color w:val="auto"/>
          <w:sz w:val="44"/>
          <w:szCs w:val="44"/>
          <w:lang w:bidi="ar-SA" w:eastAsia="zh-CN"/>
        </w:rPr>
      </w:pPr>
      <w:r>
        <w:rPr>
          <w:rFonts w:ascii="Times New Roman" w:cs="Times New Roman" w:eastAsia="方正小标宋简体" w:hAnsi="Times New Roman" w:hint="eastAsia"/>
          <w:b/>
          <w:bCs w:val="false"/>
          <w:color w:val="auto"/>
          <w:sz w:val="44"/>
          <w:szCs w:val="44"/>
          <w:lang w:val="en-US" w:bidi="ar-SA" w:eastAsia="zh-CN"/>
        </w:rPr>
        <w:t>创新</w:t>
      </w:r>
      <w:r>
        <w:rPr>
          <w:rFonts w:ascii="Times New Roman" w:cs="Times New Roman" w:eastAsia="方正小标宋简体" w:hAnsi="Times New Roman" w:hint="default"/>
          <w:b/>
          <w:bCs w:val="false"/>
          <w:color w:val="auto"/>
          <w:sz w:val="44"/>
          <w:szCs w:val="44"/>
          <w:lang w:bidi="ar-SA" w:eastAsia="zh-CN"/>
        </w:rPr>
        <w:t>项目</w:t>
      </w:r>
      <w:bookmarkEnd w:id="1"/>
      <w:r>
        <w:rPr>
          <w:rFonts w:cs="Times New Roman" w:eastAsia="方正小标宋简体" w:hint="eastAsia"/>
          <w:b/>
          <w:bCs w:val="false"/>
          <w:color w:val="auto"/>
          <w:sz w:val="44"/>
          <w:szCs w:val="44"/>
          <w:lang w:val="en-US" w:bidi="ar-SA" w:eastAsia="zh-CN"/>
        </w:rPr>
        <w:t>组项目</w:t>
      </w:r>
      <w:bookmarkStart w:id="2" w:name="_GoBack"/>
      <w:bookmarkEnd w:id="2"/>
      <w:r>
        <w:rPr>
          <w:rFonts w:cs="Times New Roman" w:eastAsia="方正小标宋简体" w:hint="eastAsia"/>
          <w:b/>
          <w:bCs w:val="false"/>
          <w:color w:val="auto"/>
          <w:sz w:val="44"/>
          <w:szCs w:val="44"/>
          <w:lang w:val="en-US" w:bidi="ar-SA" w:eastAsia="zh-CN"/>
        </w:rPr>
        <w:t>书</w:t>
      </w:r>
    </w:p>
    <w:p>
      <w:pPr>
        <w:pStyle w:val="style0"/>
        <w:spacing w:after="0" w:lineRule="atLeast" w:line="345"/>
        <w:ind w:firstLine="562" w:firstLineChars="200"/>
        <w:rPr>
          <w:rFonts w:ascii="仿宋_GB2312" w:cs="仿宋_GB2312" w:eastAsia="仿宋_GB2312" w:hAnsi="仿宋_GB2312" w:hint="eastAsia"/>
          <w:b/>
          <w:bCs w:val="false"/>
          <w:color w:val="auto"/>
          <w:sz w:val="28"/>
          <w:szCs w:val="28"/>
          <w:lang w:bidi="ar-SA" w:eastAsia="zh-CN"/>
        </w:rPr>
      </w:pPr>
      <w:r>
        <w:rPr>
          <w:rFonts w:ascii="仿宋_GB2312" w:cs="仿宋_GB2312" w:eastAsia="仿宋_GB2312" w:hAnsi="仿宋_GB2312" w:hint="eastAsia"/>
          <w:b/>
          <w:bCs w:val="false"/>
          <w:color w:val="auto"/>
          <w:sz w:val="28"/>
          <w:szCs w:val="28"/>
          <w:lang w:bidi="ar-SA" w:eastAsia="zh-CN"/>
        </w:rPr>
        <w:t>单位:万元</w:t>
      </w:r>
    </w:p>
    <w:tbl>
      <w:tblPr>
        <w:tblStyle w:val="style105"/>
        <w:tblW w:w="935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54"/>
        <w:gridCol w:w="772"/>
        <w:gridCol w:w="142"/>
        <w:gridCol w:w="240"/>
        <w:gridCol w:w="1178"/>
        <w:gridCol w:w="141"/>
        <w:gridCol w:w="921"/>
        <w:gridCol w:w="71"/>
        <w:gridCol w:w="297"/>
        <w:gridCol w:w="750"/>
        <w:gridCol w:w="229"/>
        <w:gridCol w:w="946"/>
        <w:gridCol w:w="45"/>
        <w:gridCol w:w="143"/>
        <w:gridCol w:w="993"/>
      </w:tblGrid>
      <w:tr>
        <w:trPr>
          <w:trHeight w:val="764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企业名称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所属行业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项目实施地点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694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项目名称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项目负责人</w:t>
            </w: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手机号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项目起止年限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2333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exact" w:line="300"/>
              <w:ind w:firstLine="422" w:firstLineChars="20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项目实施的必要性</w:t>
            </w:r>
          </w:p>
          <w:p>
            <w:pPr>
              <w:pStyle w:val="style0"/>
              <w:spacing w:after="0" w:lineRule="exact" w:line="300"/>
              <w:ind w:firstLine="402" w:firstLineChars="20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  <w:t>要求从符合《工业企业技术改造升级投资指南》要求、企业技术装备、产品结构等现状及市场前景等方面简述</w:t>
            </w:r>
          </w:p>
        </w:tc>
      </w:tr>
      <w:tr>
        <w:tblPrEx/>
        <w:trPr>
          <w:trHeight w:val="2385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exact" w:line="300"/>
              <w:ind w:firstLine="42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项目实施的主要内容</w:t>
            </w:r>
          </w:p>
          <w:p>
            <w:pPr>
              <w:pStyle w:val="style0"/>
              <w:spacing w:after="0" w:lineRule="exact" w:line="300"/>
              <w:ind w:firstLine="40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  <w:t>要求填写项目设备进购和技术创新等方面的具体内容</w:t>
            </w:r>
          </w:p>
        </w:tc>
      </w:tr>
      <w:tr>
        <w:tblPrEx/>
        <w:trPr>
          <w:trHeight w:val="2267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exact" w:line="300"/>
              <w:ind w:firstLine="42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项目实施的主要目标</w:t>
            </w:r>
          </w:p>
          <w:p>
            <w:pPr>
              <w:pStyle w:val="style0"/>
              <w:spacing w:after="0" w:lineRule="exact" w:line="300"/>
              <w:ind w:firstLine="40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  <w:t>要求从项目提高经济效益、完善提升产业链情况、提升产业协同配套能力等方面表述</w:t>
            </w:r>
          </w:p>
        </w:tc>
      </w:tr>
      <w:tr>
        <w:tblPrEx/>
        <w:trPr>
          <w:trHeight w:val="2580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exact" w:line="300"/>
              <w:ind w:firstLine="42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项目目前实施情况</w:t>
            </w:r>
          </w:p>
          <w:p>
            <w:pPr>
              <w:pStyle w:val="style0"/>
              <w:spacing w:after="0" w:lineRule="exact" w:line="300"/>
              <w:ind w:firstLine="402" w:firstLineChars="200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0"/>
                <w:szCs w:val="20"/>
                <w:lang w:eastAsia="zh-CN"/>
              </w:rPr>
              <w:t>主要说明项目目前实施进展情况及已完成投资量</w:t>
            </w:r>
          </w:p>
        </w:tc>
      </w:tr>
      <w:tr>
        <w:tblPrEx/>
        <w:trPr>
          <w:trHeight w:val="315" w:hRule="atLeast"/>
        </w:trPr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项目计划总投资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其中：</w:t>
            </w: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bidi="ar-SA" w:eastAsia="zh-CN"/>
              </w:rPr>
              <w:t>设备和智能化制造系统投资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ind w:firstLine="422" w:firstLineChars="20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其中：</w:t>
            </w:r>
          </w:p>
          <w:p>
            <w:pPr>
              <w:pStyle w:val="style0"/>
              <w:spacing w:lineRule="auto" w:line="240"/>
              <w:ind w:firstLine="422" w:firstLineChars="20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银行贷款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申请补助资金</w:t>
            </w:r>
          </w:p>
        </w:tc>
      </w:tr>
      <w:tr>
        <w:tblPrEx/>
        <w:trPr>
          <w:trHeight w:val="374" w:hRule="atLeast"/>
        </w:trPr>
        <w:tc>
          <w:tcPr>
            <w:tcW w:w="248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自有资金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ind w:right="1090" w:rightChars="519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315" w:hRule="atLeast"/>
        </w:trPr>
        <w:tc>
          <w:tcPr>
            <w:tcW w:w="248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铺底流动资金投资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其他资金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315" w:hRule="atLeast"/>
        </w:trPr>
        <w:tc>
          <w:tcPr>
            <w:tcW w:w="248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用外汇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1167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项目完成后预计新增销售收入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新增利润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新增税金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</w:tr>
      <w:tr>
        <w:tblPrEx/>
        <w:trPr>
          <w:trHeight w:val="985" w:hRule="atLeast"/>
        </w:trPr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8"/>
                <w:szCs w:val="28"/>
              </w:rPr>
              <w:t>项目手续情况</w:t>
            </w:r>
          </w:p>
        </w:tc>
      </w:tr>
      <w:tr>
        <w:tblPrEx/>
        <w:trPr>
          <w:trHeight w:val="998" w:hRule="atLeas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核</w:t>
            </w: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准或备案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环评批复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安评批复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规划选址</w:t>
            </w:r>
          </w:p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意见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val="en-US" w:eastAsia="zh-CN"/>
              </w:rPr>
              <w:t>能评手续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eastAsia="zh-CN"/>
              </w:rPr>
              <w:t>用地意见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其他</w:t>
            </w:r>
          </w:p>
        </w:tc>
      </w:tr>
      <w:tr>
        <w:tblPrEx/>
        <w:trPr>
          <w:trHeight w:val="984" w:hRule="atLeas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文号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</w:tr>
      <w:tr>
        <w:tblPrEx/>
        <w:trPr>
          <w:trHeight w:val="983" w:hRule="atLeast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</w:rPr>
              <w:t>批准部门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</w:tr>
      <w:tr>
        <w:tblPrEx/>
        <w:trPr>
          <w:trHeight w:val="983" w:hRule="atLeas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lang w:val="en-US" w:eastAsia="zh-CN"/>
              </w:rPr>
              <w:t>批准日期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auto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仿宋_GB2312" w:cs="仿宋_GB2312" w:eastAsia="仿宋_GB2312" w:hAnsi="仿宋_GB2312" w:hint="eastAsia"/>
          <w:b/>
          <w:bCs w:val="false"/>
          <w:color w:val="auto"/>
          <w:sz w:val="32"/>
          <w:szCs w:val="32"/>
          <w:lang w:eastAsia="zh-CN"/>
        </w:rPr>
      </w:pPr>
    </w:p>
    <w:p>
      <w:pPr>
        <w:pStyle w:val="style66"/>
        <w:rPr>
          <w:rFonts w:ascii="仿宋_GB2312" w:cs="仿宋_GB2312" w:eastAsia="仿宋_GB2312" w:hAnsi="仿宋_GB2312" w:hint="eastAsia"/>
          <w:color w:val="auto"/>
          <w:sz w:val="32"/>
          <w:szCs w:val="28"/>
          <w:lang w:val="en-US" w:eastAsia="zh-CN"/>
        </w:rPr>
      </w:pPr>
    </w:p>
    <w:p>
      <w:pPr>
        <w:pStyle w:val="style78"/>
        <w:rPr>
          <w:rFonts w:ascii="仿宋_GB2312" w:cs="仿宋_GB2312" w:eastAsia="仿宋_GB2312" w:hAnsi="仿宋_GB2312" w:hint="eastAsia"/>
          <w:color w:val="auto"/>
          <w:sz w:val="32"/>
          <w:szCs w:val="28"/>
          <w:lang w:val="en-US"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黑体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0"/>
    <w:qFormat/>
    <w:uiPriority w:val="0"/>
    <w:pPr>
      <w:widowControl w:val="false"/>
      <w:spacing w:after="120" w:afterAutospacing="false"/>
      <w:ind w:left="420" w:leftChars="200" w:firstLine="420" w:firstLineChars="200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67">
    <w:name w:val="Body Text Indent"/>
    <w:basedOn w:val="style0"/>
    <w:next w:val="style28"/>
    <w:qFormat/>
    <w:uiPriority w:val="99"/>
    <w:pPr>
      <w:spacing w:after="120"/>
      <w:ind w:left="420" w:leftChars="200"/>
    </w:pPr>
    <w:rPr/>
  </w:style>
  <w:style w:type="paragraph" w:styleId="style28">
    <w:name w:val="Normal Indent"/>
    <w:next w:val="style28"/>
    <w:qFormat/>
    <w:uiPriority w:val="99"/>
    <w:pPr>
      <w:widowControl w:val="false"/>
      <w:ind w:firstLine="420" w:firstLineChars="200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paragraph" w:styleId="style66">
    <w:name w:val="Body Text"/>
    <w:basedOn w:val="style0"/>
    <w:next w:val="style78"/>
    <w:qFormat/>
    <w:uiPriority w:val="99"/>
    <w:pPr>
      <w:spacing w:after="120"/>
    </w:pPr>
    <w:rPr>
      <w:rFonts w:ascii="Calibri" w:cs="Times New Roman" w:eastAsia="宋体" w:hAnsi="Calibri"/>
      <w:sz w:val="21"/>
      <w:szCs w:val="22"/>
    </w:rPr>
  </w:style>
  <w:style w:type="paragraph" w:customStyle="1" w:styleId="style4097">
    <w:name w:val="Normal New New"/>
    <w:next w:val="style4097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332</Words>
  <Pages>1</Pages>
  <Characters>332</Characters>
  <Application>WPS Office</Application>
  <DocSecurity>0</DocSecurity>
  <Paragraphs>118</Paragraphs>
  <ScaleCrop>false</ScaleCrop>
  <LinksUpToDate>false</LinksUpToDate>
  <CharactersWithSpaces>333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2022-09-27T07:49:00Z</dcterms:created>
  <dc:creator>Administrator</dc:creator>
  <lastModifiedBy>KB2000</lastModifiedBy>
  <dcterms:modified xsi:type="dcterms:W3CDTF">2022-09-29T10:26:19Z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b1f0406b4f25417db6548baecfc62af0</vt:lpwstr>
  </property>
</Properties>
</file>