
<file path=[Content_Types].xml><?xml version="1.0" encoding="utf-8"?>
<Types xmlns="http://schemas.openxmlformats.org/package/2006/content-types">
  <Default Extension="xml" ContentType="application/xml"/>
  <Default Extension="xlsx" ContentType="application/vnd.openxmlformats-officedocument.spreadsheetml.sheet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olors1.xml" ContentType="application/vnd.ms-office.chartcolorstyle+xml"/>
  <Override PartName="/word/charts/style1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ind w:right="-105" w:rightChars="-50"/>
        <w:rPr>
          <w:rFonts w:ascii="方正仿宋简体" w:eastAsia="方正仿宋简体"/>
          <w:b/>
          <w:color w:val="auto"/>
          <w:sz w:val="32"/>
          <w:szCs w:val="32"/>
        </w:rPr>
      </w:pPr>
    </w:p>
    <w:p>
      <w:pPr>
        <w:spacing w:line="590" w:lineRule="exact"/>
        <w:ind w:right="-105" w:rightChars="-50"/>
        <w:jc w:val="center"/>
        <w:rPr>
          <w:rFonts w:hint="eastAsia" w:ascii="方正小标宋简体" w:eastAsia="方正小标宋简体"/>
          <w:b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b/>
          <w:color w:val="auto"/>
          <w:sz w:val="44"/>
          <w:szCs w:val="44"/>
          <w:lang w:val="en-US" w:eastAsia="zh-CN"/>
        </w:rPr>
        <w:t>济宁市经济技术开发区城乡建设和交通局</w:t>
      </w:r>
    </w:p>
    <w:p>
      <w:pPr>
        <w:spacing w:line="590" w:lineRule="exact"/>
        <w:ind w:right="-105" w:rightChars="-50"/>
        <w:jc w:val="center"/>
        <w:rPr>
          <w:rFonts w:ascii="方正小标宋简体" w:eastAsia="方正小标宋简体"/>
          <w:b/>
          <w:color w:val="auto"/>
          <w:sz w:val="44"/>
          <w:szCs w:val="44"/>
        </w:rPr>
      </w:pPr>
      <w:r>
        <w:rPr>
          <w:rFonts w:hint="eastAsia" w:ascii="方正小标宋简体" w:eastAsia="方正小标宋简体"/>
          <w:b/>
          <w:color w:val="auto"/>
          <w:sz w:val="44"/>
          <w:szCs w:val="44"/>
          <w:lang w:val="en-US" w:eastAsia="zh-CN"/>
        </w:rPr>
        <w:t>2</w:t>
      </w:r>
      <w:r>
        <w:rPr>
          <w:rFonts w:hint="eastAsia" w:ascii="方正小标宋简体" w:eastAsia="方正小标宋简体"/>
          <w:b/>
          <w:color w:val="auto"/>
          <w:sz w:val="44"/>
          <w:szCs w:val="44"/>
        </w:rPr>
        <w:t>02</w:t>
      </w:r>
      <w:r>
        <w:rPr>
          <w:rFonts w:hint="eastAsia" w:ascii="方正小标宋简体" w:eastAsia="方正小标宋简体"/>
          <w:b/>
          <w:color w:val="auto"/>
          <w:sz w:val="44"/>
          <w:szCs w:val="44"/>
          <w:lang w:val="en-US" w:eastAsia="zh-CN"/>
        </w:rPr>
        <w:t>3</w:t>
      </w:r>
      <w:r>
        <w:rPr>
          <w:rFonts w:hint="eastAsia" w:ascii="方正小标宋简体" w:eastAsia="方正小标宋简体"/>
          <w:b/>
          <w:color w:val="auto"/>
          <w:sz w:val="44"/>
          <w:szCs w:val="44"/>
        </w:rPr>
        <w:t>年政府信息公开工作年度报告</w:t>
      </w:r>
    </w:p>
    <w:p>
      <w:pPr>
        <w:spacing w:line="590" w:lineRule="exact"/>
        <w:ind w:right="-105" w:rightChars="-50" w:firstLine="642" w:firstLineChars="200"/>
        <w:rPr>
          <w:rFonts w:ascii="方正仿宋简体" w:eastAsia="方正仿宋简体"/>
          <w:b/>
          <w:color w:val="auto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 w:firstLine="642" w:firstLineChars="200"/>
        <w:textAlignment w:val="auto"/>
        <w:rPr>
          <w:rFonts w:hint="eastAsia" w:ascii="方正仿宋简体" w:hAnsi="方正仿宋简体" w:eastAsia="方正仿宋简体" w:cs="方正仿宋简体"/>
          <w:b/>
          <w:bCs w:val="0"/>
          <w:color w:val="auto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 w:val="0"/>
          <w:color w:val="auto"/>
          <w:sz w:val="32"/>
          <w:szCs w:val="32"/>
        </w:rPr>
        <w:t>本报告由济宁经开区城乡建设和交通局按照《中华人民共和国政府信息公开条例》（以下简称《条例》）和《中华人民共和国政府信息公开工作年度报告格式》（国办公开办函〔2021〕30号）要求编制。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 w:firstLine="642" w:firstLineChars="200"/>
        <w:textAlignment w:val="auto"/>
        <w:rPr>
          <w:rFonts w:hint="eastAsia" w:ascii="方正仿宋简体" w:hAnsi="方正仿宋简体" w:eastAsia="方正仿宋简体" w:cs="方正仿宋简体"/>
          <w:b/>
          <w:bCs w:val="0"/>
          <w:color w:val="auto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 w:val="0"/>
          <w:color w:val="auto"/>
          <w:sz w:val="32"/>
          <w:szCs w:val="32"/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 w:firstLine="642" w:firstLineChars="200"/>
        <w:textAlignment w:val="auto"/>
        <w:rPr>
          <w:rFonts w:hint="eastAsia" w:ascii="方正仿宋简体" w:hAnsi="方正仿宋简体" w:eastAsia="方正仿宋简体" w:cs="方正仿宋简体"/>
          <w:b/>
          <w:bCs w:val="0"/>
          <w:color w:val="auto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 w:val="0"/>
          <w:color w:val="auto"/>
          <w:sz w:val="32"/>
          <w:szCs w:val="32"/>
        </w:rPr>
        <w:t>本报告所列数据的统计期限自202</w:t>
      </w:r>
      <w:r>
        <w:rPr>
          <w:rFonts w:hint="eastAsia" w:ascii="方正仿宋简体" w:hAnsi="方正仿宋简体" w:eastAsia="方正仿宋简体" w:cs="方正仿宋简体"/>
          <w:b/>
          <w:bCs w:val="0"/>
          <w:color w:val="auto"/>
          <w:sz w:val="32"/>
          <w:szCs w:val="32"/>
          <w:lang w:val="en-US" w:eastAsia="zh-CN"/>
        </w:rPr>
        <w:t>3</w:t>
      </w:r>
      <w:r>
        <w:rPr>
          <w:rFonts w:hint="eastAsia" w:ascii="方正仿宋简体" w:hAnsi="方正仿宋简体" w:eastAsia="方正仿宋简体" w:cs="方正仿宋简体"/>
          <w:b/>
          <w:bCs w:val="0"/>
          <w:color w:val="auto"/>
          <w:sz w:val="32"/>
          <w:szCs w:val="32"/>
        </w:rPr>
        <w:t>年1月1日起至202</w:t>
      </w:r>
      <w:r>
        <w:rPr>
          <w:rFonts w:hint="eastAsia" w:ascii="方正仿宋简体" w:hAnsi="方正仿宋简体" w:eastAsia="方正仿宋简体" w:cs="方正仿宋简体"/>
          <w:b/>
          <w:bCs w:val="0"/>
          <w:color w:val="auto"/>
          <w:sz w:val="32"/>
          <w:szCs w:val="32"/>
          <w:lang w:val="en-US" w:eastAsia="zh-CN"/>
        </w:rPr>
        <w:t>3</w:t>
      </w:r>
      <w:r>
        <w:rPr>
          <w:rFonts w:hint="eastAsia" w:ascii="方正仿宋简体" w:hAnsi="方正仿宋简体" w:eastAsia="方正仿宋简体" w:cs="方正仿宋简体"/>
          <w:b/>
          <w:bCs w:val="0"/>
          <w:color w:val="auto"/>
          <w:sz w:val="32"/>
          <w:szCs w:val="32"/>
        </w:rPr>
        <w:t>年12月31日止。本报告电子版可在“</w:t>
      </w:r>
      <w:r>
        <w:rPr>
          <w:rFonts w:hint="eastAsia" w:ascii="方正仿宋简体" w:hAnsi="方正仿宋简体" w:eastAsia="方正仿宋简体" w:cs="方正仿宋简体"/>
          <w:b/>
          <w:bCs w:val="0"/>
          <w:color w:val="auto"/>
          <w:sz w:val="32"/>
          <w:szCs w:val="32"/>
          <w:lang w:eastAsia="zh-CN"/>
        </w:rPr>
        <w:t>济宁经济开发区</w:t>
      </w:r>
      <w:r>
        <w:rPr>
          <w:rFonts w:hint="eastAsia" w:ascii="方正仿宋简体" w:hAnsi="方正仿宋简体" w:eastAsia="方正仿宋简体" w:cs="方正仿宋简体"/>
          <w:b/>
          <w:bCs w:val="0"/>
          <w:color w:val="auto"/>
          <w:sz w:val="32"/>
          <w:szCs w:val="32"/>
        </w:rPr>
        <w:t>”</w:t>
      </w:r>
      <w:r>
        <w:rPr>
          <w:rFonts w:hint="eastAsia" w:ascii="方正仿宋简体" w:hAnsi="方正仿宋简体" w:eastAsia="方正仿宋简体" w:cs="方正仿宋简体"/>
          <w:b/>
          <w:bCs w:val="0"/>
          <w:color w:val="auto"/>
          <w:sz w:val="32"/>
          <w:szCs w:val="32"/>
          <w:lang w:eastAsia="zh-CN"/>
        </w:rPr>
        <w:t>管委会</w:t>
      </w:r>
      <w:r>
        <w:rPr>
          <w:rFonts w:hint="eastAsia" w:ascii="方正仿宋简体" w:hAnsi="方正仿宋简体" w:eastAsia="方正仿宋简体" w:cs="方正仿宋简体"/>
          <w:b/>
          <w:bCs w:val="0"/>
          <w:color w:val="auto"/>
          <w:sz w:val="32"/>
          <w:szCs w:val="32"/>
        </w:rPr>
        <w:t>门户网站（http://jkq.jining.gov.cn/）查阅或下载。如对本报告有疑问，请与济宁经开区城乡建设和交通局联系（地址：济宁经济技术开发区麟祥路 1 号管委会，联系电话：0537-6988607）。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 w:firstLine="642" w:firstLineChars="200"/>
        <w:textAlignment w:val="auto"/>
        <w:rPr>
          <w:rFonts w:hint="eastAsia" w:ascii="黑体" w:hAnsi="黑体" w:eastAsia="黑体" w:cs="黑体"/>
          <w:b/>
          <w:bCs w:val="0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/>
          <w:bCs w:val="0"/>
          <w:color w:val="auto"/>
          <w:sz w:val="32"/>
          <w:szCs w:val="32"/>
        </w:rPr>
        <w:t>一、总体情况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2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b/>
          <w:bCs w:val="0"/>
          <w:color w:val="auto"/>
          <w:spacing w:val="8"/>
          <w:kern w:val="0"/>
          <w:sz w:val="32"/>
          <w:szCs w:val="32"/>
          <w:lang w:val="en-US" w:eastAsia="zh-CN" w:bidi="ar"/>
        </w:rPr>
      </w:pPr>
      <w:r>
        <w:rPr>
          <w:rFonts w:hint="eastAsia" w:ascii="方正仿宋简体" w:hAnsi="方正仿宋简体" w:eastAsia="方正仿宋简体" w:cs="方正仿宋简体"/>
          <w:b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2023年，</w:t>
      </w:r>
      <w:r>
        <w:rPr>
          <w:rFonts w:hint="eastAsia" w:ascii="方正仿宋简体" w:hAnsi="方正仿宋简体" w:eastAsia="方正仿宋简体" w:cs="方正仿宋简体"/>
          <w:b/>
          <w:bCs w:val="0"/>
          <w:i w:val="0"/>
          <w:iCs w:val="0"/>
          <w:caps w:val="0"/>
          <w:color w:val="auto"/>
          <w:spacing w:val="0"/>
          <w:sz w:val="32"/>
          <w:szCs w:val="32"/>
        </w:rPr>
        <w:t>城乡建设</w:t>
      </w:r>
      <w:r>
        <w:rPr>
          <w:rFonts w:hint="eastAsia" w:ascii="方正仿宋简体" w:hAnsi="方正仿宋简体" w:eastAsia="方正仿宋简体" w:cs="方正仿宋简体"/>
          <w:b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和交通</w:t>
      </w:r>
      <w:r>
        <w:rPr>
          <w:rFonts w:hint="eastAsia" w:ascii="方正仿宋简体" w:hAnsi="方正仿宋简体" w:eastAsia="方正仿宋简体" w:cs="方正仿宋简体"/>
          <w:b/>
          <w:bCs w:val="0"/>
          <w:i w:val="0"/>
          <w:iCs w:val="0"/>
          <w:caps w:val="0"/>
          <w:color w:val="auto"/>
          <w:spacing w:val="0"/>
          <w:sz w:val="32"/>
          <w:szCs w:val="32"/>
        </w:rPr>
        <w:t>局认真贯彻落实新修订的《条例》和</w:t>
      </w:r>
      <w:r>
        <w:rPr>
          <w:rFonts w:hint="eastAsia" w:ascii="方正仿宋简体" w:hAnsi="方正仿宋简体" w:eastAsia="方正仿宋简体" w:cs="方正仿宋简体"/>
          <w:b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区管委会的</w:t>
      </w:r>
      <w:r>
        <w:rPr>
          <w:rFonts w:hint="eastAsia" w:ascii="方正仿宋简体" w:hAnsi="方正仿宋简体" w:eastAsia="方正仿宋简体" w:cs="方正仿宋简体"/>
          <w:b/>
          <w:bCs w:val="0"/>
          <w:i w:val="0"/>
          <w:iCs w:val="0"/>
          <w:caps w:val="0"/>
          <w:color w:val="auto"/>
          <w:spacing w:val="0"/>
          <w:sz w:val="32"/>
          <w:szCs w:val="32"/>
        </w:rPr>
        <w:t>决策部署，</w:t>
      </w:r>
      <w:r>
        <w:rPr>
          <w:rFonts w:hint="eastAsia" w:ascii="方正仿宋简体" w:hAnsi="方正仿宋简体" w:eastAsia="方正仿宋简体" w:cs="方正仿宋简体"/>
          <w:b/>
          <w:bCs w:val="0"/>
          <w:color w:val="auto"/>
          <w:spacing w:val="8"/>
          <w:kern w:val="0"/>
          <w:sz w:val="32"/>
          <w:szCs w:val="32"/>
          <w:lang w:val="en-US" w:eastAsia="zh-CN" w:bidi="ar"/>
        </w:rPr>
        <w:t>坚持“公正、公平、便民、及时、准确”的原则，规范公开内容、创新公开形式、突出公开重点、提高公开水平，加强人民群众对行政权力的监督，保障人民群众的知情权与参与权，让公开成为自觉，让透明成为常态。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-105" w:rightChars="-50" w:firstLine="642" w:firstLineChars="200"/>
        <w:jc w:val="both"/>
        <w:textAlignment w:val="auto"/>
        <w:rPr>
          <w:rFonts w:hint="eastAsia" w:ascii="楷体" w:hAnsi="楷体" w:eastAsia="楷体" w:cs="楷体"/>
          <w:b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 w:val="0"/>
          <w:color w:val="auto"/>
          <w:sz w:val="32"/>
          <w:szCs w:val="32"/>
          <w:lang w:val="en-US" w:eastAsia="zh-CN"/>
        </w:rPr>
        <w:t>主动公开情况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2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b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简体" w:hAnsi="方正仿宋简体" w:eastAsia="方正仿宋简体" w:cs="方正仿宋简体"/>
          <w:b/>
          <w:bCs w:val="0"/>
          <w:color w:val="auto"/>
          <w:kern w:val="2"/>
          <w:sz w:val="32"/>
          <w:szCs w:val="32"/>
          <w:lang w:val="en-US" w:eastAsia="zh-CN" w:bidi="ar-SA"/>
        </w:rPr>
        <w:t>城乡建设和交通局严格按照“主要领导亲自抓，分管领导具体抓，具体部门抓落实”的工作要求，将任务分解到岗，把责任细化到人，确保政务公开工作有人管、有人抓、有人办。强化工作程序，根据重点任务及群众需求，对主动公开基本目录进行动态管理，实时更新调整。</w:t>
      </w:r>
      <w:r>
        <w:rPr>
          <w:rFonts w:hint="eastAsia" w:ascii="方正仿宋简体" w:hAnsi="方正仿宋简体" w:eastAsia="方正仿宋简体" w:cs="方正仿宋简体"/>
          <w:b/>
          <w:bCs w:val="0"/>
          <w:color w:val="auto"/>
          <w:sz w:val="32"/>
          <w:szCs w:val="32"/>
        </w:rPr>
        <w:t>在主动公开的信息中，主要类别涉及文件政策解读、</w:t>
      </w:r>
      <w:r>
        <w:rPr>
          <w:rFonts w:hint="eastAsia" w:ascii="方正仿宋简体" w:hAnsi="方正仿宋简体" w:eastAsia="方正仿宋简体" w:cs="方正仿宋简体"/>
          <w:b/>
          <w:bCs w:val="0"/>
          <w:color w:val="auto"/>
          <w:spacing w:val="8"/>
          <w:kern w:val="0"/>
          <w:sz w:val="32"/>
          <w:szCs w:val="32"/>
          <w:lang w:val="en-US" w:eastAsia="zh-CN" w:bidi="ar"/>
        </w:rPr>
        <w:t>营商环境、获得用气、农村改厕后续管护、各类项目建设相关信息</w:t>
      </w:r>
      <w:r>
        <w:rPr>
          <w:rFonts w:hint="eastAsia" w:ascii="方正仿宋简体" w:hAnsi="方正仿宋简体" w:eastAsia="方正仿宋简体" w:cs="方正仿宋简体"/>
          <w:b/>
          <w:bCs w:val="0"/>
          <w:color w:val="auto"/>
          <w:sz w:val="32"/>
          <w:szCs w:val="32"/>
        </w:rPr>
        <w:t>及其他各类工作动态信息</w:t>
      </w:r>
      <w:r>
        <w:rPr>
          <w:rFonts w:hint="eastAsia" w:ascii="方正仿宋简体" w:hAnsi="方正仿宋简体" w:eastAsia="方正仿宋简体" w:cs="方正仿宋简体"/>
          <w:b/>
          <w:bCs w:val="0"/>
          <w:color w:val="auto"/>
          <w:sz w:val="32"/>
          <w:szCs w:val="32"/>
          <w:lang w:val="en-US" w:eastAsia="zh-CN"/>
        </w:rPr>
        <w:t>等</w:t>
      </w:r>
      <w:r>
        <w:rPr>
          <w:rFonts w:hint="eastAsia" w:ascii="方正仿宋简体" w:hAnsi="方正仿宋简体" w:eastAsia="方正仿宋简体" w:cs="方正仿宋简体"/>
          <w:b/>
          <w:bCs w:val="0"/>
          <w:color w:val="auto"/>
          <w:spacing w:val="8"/>
          <w:kern w:val="0"/>
          <w:sz w:val="32"/>
          <w:szCs w:val="32"/>
          <w:lang w:val="en-US" w:eastAsia="zh-CN" w:bidi="ar"/>
        </w:rPr>
        <w:t>。</w:t>
      </w:r>
      <w:r>
        <w:rPr>
          <w:rFonts w:hint="eastAsia" w:ascii="方正仿宋简体" w:hAnsi="方正仿宋简体" w:eastAsia="方正仿宋简体" w:cs="方正仿宋简体"/>
          <w:b/>
          <w:bCs w:val="0"/>
          <w:color w:val="auto"/>
          <w:sz w:val="32"/>
          <w:szCs w:val="32"/>
          <w:lang w:val="en-US" w:eastAsia="zh-CN"/>
        </w:rPr>
        <w:t>不断增强</w:t>
      </w:r>
      <w:r>
        <w:rPr>
          <w:rFonts w:hint="eastAsia" w:ascii="方正仿宋简体" w:hAnsi="方正仿宋简体" w:eastAsia="方正仿宋简体" w:cs="方正仿宋简体"/>
          <w:b/>
          <w:bCs w:val="0"/>
          <w:color w:val="auto"/>
          <w:sz w:val="32"/>
          <w:szCs w:val="32"/>
        </w:rPr>
        <w:t>政府网站、微信等多媒体</w:t>
      </w:r>
      <w:r>
        <w:rPr>
          <w:rFonts w:hint="eastAsia" w:ascii="方正仿宋简体" w:hAnsi="方正仿宋简体" w:eastAsia="方正仿宋简体" w:cs="方正仿宋简体"/>
          <w:b/>
          <w:bCs w:val="0"/>
          <w:color w:val="auto"/>
          <w:sz w:val="32"/>
          <w:szCs w:val="32"/>
          <w:lang w:val="en-US" w:eastAsia="zh-CN"/>
        </w:rPr>
        <w:t>的公开力度，</w:t>
      </w:r>
      <w:r>
        <w:rPr>
          <w:rFonts w:hint="eastAsia" w:ascii="方正仿宋简体" w:hAnsi="方正仿宋简体" w:eastAsia="方正仿宋简体" w:cs="方正仿宋简体"/>
          <w:b/>
          <w:bCs w:val="0"/>
          <w:color w:val="auto"/>
          <w:sz w:val="32"/>
          <w:szCs w:val="32"/>
        </w:rPr>
        <w:t>通过多种形式加大政务公开有效性，</w:t>
      </w:r>
      <w:r>
        <w:rPr>
          <w:rFonts w:hint="eastAsia" w:ascii="方正仿宋简体" w:hAnsi="方正仿宋简体" w:eastAsia="方正仿宋简体" w:cs="方正仿宋简体"/>
          <w:b/>
          <w:bCs w:val="0"/>
          <w:color w:val="auto"/>
          <w:sz w:val="32"/>
          <w:szCs w:val="32"/>
          <w:lang w:val="en-US" w:eastAsia="zh-CN"/>
        </w:rPr>
        <w:t>2023年</w:t>
      </w:r>
      <w:r>
        <w:rPr>
          <w:rFonts w:hint="eastAsia" w:ascii="方正仿宋简体" w:hAnsi="方正仿宋简体" w:eastAsia="方正仿宋简体" w:cs="方正仿宋简体"/>
          <w:b/>
          <w:bCs w:val="0"/>
          <w:color w:val="auto"/>
          <w:sz w:val="32"/>
          <w:szCs w:val="32"/>
        </w:rPr>
        <w:t>共主动公开各类信息</w:t>
      </w:r>
      <w:r>
        <w:rPr>
          <w:rFonts w:hint="eastAsia" w:ascii="方正仿宋简体" w:hAnsi="方正仿宋简体" w:eastAsia="方正仿宋简体" w:cs="方正仿宋简体"/>
          <w:b/>
          <w:bCs w:val="0"/>
          <w:color w:val="auto"/>
          <w:sz w:val="32"/>
          <w:szCs w:val="32"/>
          <w:lang w:val="en-US" w:eastAsia="zh-CN"/>
        </w:rPr>
        <w:t>103</w:t>
      </w:r>
      <w:r>
        <w:rPr>
          <w:rFonts w:hint="eastAsia" w:ascii="方正仿宋简体" w:hAnsi="方正仿宋简体" w:eastAsia="方正仿宋简体" w:cs="方正仿宋简体"/>
          <w:b/>
          <w:bCs w:val="0"/>
          <w:color w:val="auto"/>
          <w:sz w:val="32"/>
          <w:szCs w:val="32"/>
        </w:rPr>
        <w:t>条</w:t>
      </w:r>
      <w:r>
        <w:rPr>
          <w:rFonts w:hint="eastAsia" w:ascii="方正仿宋简体" w:hAnsi="方正仿宋简体" w:eastAsia="方正仿宋简体" w:cs="方正仿宋简体"/>
          <w:b/>
          <w:bCs w:val="0"/>
          <w:color w:val="auto"/>
          <w:sz w:val="32"/>
          <w:szCs w:val="32"/>
          <w:lang w:eastAsia="zh-CN"/>
        </w:rPr>
        <w:t>。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-105" w:rightChars="-50" w:firstLine="642" w:firstLineChars="200"/>
        <w:jc w:val="both"/>
        <w:textAlignment w:val="auto"/>
        <w:rPr>
          <w:rFonts w:hint="eastAsia" w:ascii="楷体" w:hAnsi="楷体" w:eastAsia="楷体" w:cs="楷体"/>
          <w:b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 w:val="0"/>
          <w:color w:val="auto"/>
          <w:sz w:val="32"/>
          <w:szCs w:val="32"/>
          <w:lang w:val="en-US" w:eastAsia="zh-CN"/>
        </w:rPr>
        <w:t>依申请公开情况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-105" w:rightChars="-50" w:firstLine="642" w:firstLineChars="200"/>
        <w:jc w:val="both"/>
        <w:textAlignment w:val="auto"/>
        <w:rPr>
          <w:rStyle w:val="7"/>
          <w:rFonts w:hint="eastAsia" w:ascii="方正仿宋简体" w:hAnsi="方正仿宋简体" w:eastAsia="方正仿宋简体" w:cs="方正仿宋简体"/>
          <w:b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Style w:val="7"/>
          <w:rFonts w:hint="eastAsia" w:ascii="方正仿宋简体" w:hAnsi="方正仿宋简体" w:eastAsia="方正仿宋简体" w:cs="方正仿宋简体"/>
          <w:b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202</w:t>
      </w:r>
      <w:r>
        <w:rPr>
          <w:rStyle w:val="7"/>
          <w:rFonts w:hint="eastAsia" w:ascii="方正仿宋简体" w:hAnsi="方正仿宋简体" w:eastAsia="方正仿宋简体" w:cs="方正仿宋简体"/>
          <w:b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3</w:t>
      </w:r>
      <w:r>
        <w:rPr>
          <w:rStyle w:val="7"/>
          <w:rFonts w:hint="eastAsia" w:ascii="方正仿宋简体" w:hAnsi="方正仿宋简体" w:eastAsia="方正仿宋简体" w:cs="方正仿宋简体"/>
          <w:b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年共收到政府信息公开申请</w:t>
      </w:r>
      <w:r>
        <w:rPr>
          <w:rStyle w:val="7"/>
          <w:rFonts w:hint="eastAsia" w:ascii="方正仿宋简体" w:hAnsi="方正仿宋简体" w:eastAsia="方正仿宋简体" w:cs="方正仿宋简体"/>
          <w:b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2</w:t>
      </w:r>
      <w:r>
        <w:rPr>
          <w:rStyle w:val="7"/>
          <w:rFonts w:hint="eastAsia" w:ascii="方正仿宋简体" w:hAnsi="方正仿宋简体" w:eastAsia="方正仿宋简体" w:cs="方正仿宋简体"/>
          <w:b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件，受理</w:t>
      </w:r>
      <w:r>
        <w:rPr>
          <w:rStyle w:val="7"/>
          <w:rFonts w:hint="eastAsia" w:ascii="方正仿宋简体" w:hAnsi="方正仿宋简体" w:eastAsia="方正仿宋简体" w:cs="方正仿宋简体"/>
          <w:b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2</w:t>
      </w:r>
      <w:r>
        <w:rPr>
          <w:rStyle w:val="7"/>
          <w:rFonts w:hint="eastAsia" w:ascii="方正仿宋简体" w:hAnsi="方正仿宋简体" w:eastAsia="方正仿宋简体" w:cs="方正仿宋简体"/>
          <w:b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件，申请主要涉及</w:t>
      </w:r>
      <w:r>
        <w:rPr>
          <w:rStyle w:val="7"/>
          <w:rFonts w:hint="eastAsia" w:ascii="方正仿宋简体" w:hAnsi="方正仿宋简体" w:eastAsia="方正仿宋简体" w:cs="方正仿宋简体"/>
          <w:b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物业服务</w:t>
      </w:r>
      <w:r>
        <w:rPr>
          <w:rStyle w:val="7"/>
          <w:rFonts w:hint="eastAsia" w:ascii="方正仿宋简体" w:hAnsi="方正仿宋简体" w:eastAsia="方正仿宋简体" w:cs="方正仿宋简体"/>
          <w:b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方面，按时答复</w:t>
      </w:r>
      <w:r>
        <w:rPr>
          <w:rStyle w:val="7"/>
          <w:rFonts w:hint="eastAsia" w:ascii="方正仿宋简体" w:hAnsi="方正仿宋简体" w:eastAsia="方正仿宋简体" w:cs="方正仿宋简体"/>
          <w:b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2</w:t>
      </w:r>
      <w:r>
        <w:rPr>
          <w:rStyle w:val="7"/>
          <w:rFonts w:hint="eastAsia" w:ascii="方正仿宋简体" w:hAnsi="方正仿宋简体" w:eastAsia="方正仿宋简体" w:cs="方正仿宋简体"/>
          <w:b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件，未发生任何收费情况。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20" w:lineRule="auto"/>
        <w:ind w:right="-105" w:rightChars="-50"/>
        <w:jc w:val="center"/>
        <w:textAlignment w:val="auto"/>
        <w:rPr>
          <w:rStyle w:val="7"/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0"/>
          <w:sz w:val="31"/>
          <w:szCs w:val="31"/>
          <w:shd w:val="clear" w:fill="FFFFFF"/>
          <w:lang w:eastAsia="zh-CN"/>
        </w:rPr>
      </w:pPr>
      <w:r>
        <w:rPr>
          <w:rStyle w:val="7"/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0"/>
          <w:sz w:val="31"/>
          <w:szCs w:val="31"/>
          <w:shd w:val="clear" w:fill="FFFFFF"/>
          <w:lang w:eastAsia="zh-CN"/>
        </w:rPr>
        <w:drawing>
          <wp:inline distT="0" distB="0" distL="114300" distR="114300">
            <wp:extent cx="5256530" cy="2988310"/>
            <wp:effectExtent l="5080" t="4445" r="15240" b="17145"/>
            <wp:docPr id="1" name="图表 1" descr="7b0a202020202263686172745265734964223a202234363235383337220a7d0a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-105" w:rightChars="-50" w:firstLine="642" w:firstLineChars="200"/>
        <w:jc w:val="both"/>
        <w:textAlignment w:val="auto"/>
        <w:rPr>
          <w:rFonts w:hint="eastAsia" w:ascii="楷体" w:hAnsi="楷体" w:eastAsia="楷体" w:cs="楷体"/>
          <w:b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 w:val="0"/>
          <w:color w:val="auto"/>
          <w:sz w:val="32"/>
          <w:szCs w:val="32"/>
          <w:lang w:val="en-US" w:eastAsia="zh-CN"/>
        </w:rPr>
        <w:t>政府信息管理情况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-105" w:rightChars="-50" w:firstLine="560"/>
        <w:jc w:val="both"/>
        <w:textAlignment w:val="auto"/>
        <w:rPr>
          <w:rFonts w:hint="eastAsia" w:ascii="方正仿宋简体" w:hAnsi="方正仿宋简体" w:eastAsia="方正仿宋简体" w:cs="方正仿宋简体"/>
          <w:b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/>
          <w:bCs w:val="0"/>
          <w:color w:val="auto"/>
          <w:kern w:val="2"/>
          <w:sz w:val="32"/>
          <w:szCs w:val="32"/>
          <w:lang w:val="en-US" w:eastAsia="zh-CN" w:bidi="ar-SA"/>
        </w:rPr>
        <w:t>城乡建设和交通局</w:t>
      </w:r>
      <w:r>
        <w:rPr>
          <w:rFonts w:hint="eastAsia" w:ascii="方正仿宋简体" w:hAnsi="方正仿宋简体" w:eastAsia="方正仿宋简体" w:cs="方正仿宋简体"/>
          <w:b/>
          <w:bCs w:val="0"/>
          <w:color w:val="auto"/>
          <w:sz w:val="32"/>
          <w:szCs w:val="32"/>
          <w:lang w:val="en-US" w:eastAsia="zh-CN"/>
        </w:rPr>
        <w:t>制定了《济宁经开区城乡建设和交通局2023年政务公开工作实施方案》，再次调整了政务公开工作领导小组，</w:t>
      </w:r>
      <w:r>
        <w:rPr>
          <w:rFonts w:hint="eastAsia" w:ascii="方正仿宋简体" w:hAnsi="方正仿宋简体" w:eastAsia="方正仿宋简体" w:cs="方正仿宋简体"/>
          <w:b/>
          <w:bCs w:val="0"/>
          <w:i w:val="0"/>
          <w:iCs w:val="0"/>
          <w:caps w:val="0"/>
          <w:color w:val="auto"/>
          <w:spacing w:val="8"/>
          <w:sz w:val="32"/>
          <w:szCs w:val="32"/>
          <w:highlight w:val="none"/>
          <w:shd w:val="clear" w:fill="FFFFFF"/>
        </w:rPr>
        <w:t>严格按照“主要领导亲自抓，分管领导具体抓，具体部门抓落实”的工作要求，将任务分解到岗，把责任细化到人，</w:t>
      </w:r>
      <w:r>
        <w:rPr>
          <w:rFonts w:hint="eastAsia" w:ascii="方正仿宋简体" w:hAnsi="方正仿宋简体" w:eastAsia="方正仿宋简体" w:cs="方正仿宋简体"/>
          <w:b/>
          <w:bCs w:val="0"/>
          <w:i w:val="0"/>
          <w:iCs w:val="0"/>
          <w:caps w:val="0"/>
          <w:color w:val="auto"/>
          <w:spacing w:val="8"/>
          <w:sz w:val="32"/>
          <w:szCs w:val="32"/>
          <w:highlight w:val="none"/>
          <w:shd w:val="clear" w:fill="FFFFFF"/>
          <w:lang w:val="en-US" w:eastAsia="zh-CN"/>
        </w:rPr>
        <w:t>做到了</w:t>
      </w:r>
      <w:r>
        <w:rPr>
          <w:rFonts w:hint="eastAsia" w:ascii="方正仿宋简体" w:hAnsi="方正仿宋简体" w:eastAsia="方正仿宋简体" w:cs="方正仿宋简体"/>
          <w:b/>
          <w:bCs w:val="0"/>
          <w:color w:val="auto"/>
          <w:spacing w:val="8"/>
          <w:kern w:val="0"/>
          <w:sz w:val="32"/>
          <w:szCs w:val="32"/>
          <w:lang w:val="en-US" w:eastAsia="zh-CN" w:bidi="ar"/>
        </w:rPr>
        <w:t>对主动公开基本目录进行动态管理，实时更新调整。</w:t>
      </w:r>
      <w:r>
        <w:rPr>
          <w:rFonts w:hint="eastAsia" w:ascii="方正仿宋简体" w:hAnsi="方正仿宋简体" w:eastAsia="方正仿宋简体" w:cs="方正仿宋简体"/>
          <w:b/>
          <w:bCs w:val="0"/>
          <w:i w:val="0"/>
          <w:iCs w:val="0"/>
          <w:caps w:val="0"/>
          <w:color w:val="auto"/>
          <w:spacing w:val="8"/>
          <w:sz w:val="32"/>
          <w:szCs w:val="32"/>
          <w:highlight w:val="none"/>
          <w:shd w:val="clear" w:fill="FFFFFF"/>
        </w:rPr>
        <w:t>坚持公开与保密的有机统一的原则，在政务公开中加强保密，在保密中推行</w:t>
      </w:r>
      <w:r>
        <w:rPr>
          <w:rFonts w:hint="eastAsia" w:ascii="方正仿宋简体" w:hAnsi="方正仿宋简体" w:eastAsia="方正仿宋简体" w:cs="方正仿宋简体"/>
          <w:b/>
          <w:bCs w:val="0"/>
          <w:i w:val="0"/>
          <w:iCs w:val="0"/>
          <w:caps w:val="0"/>
          <w:color w:val="auto"/>
          <w:spacing w:val="8"/>
          <w:sz w:val="32"/>
          <w:szCs w:val="32"/>
          <w:shd w:val="clear" w:fill="FFFFFF"/>
        </w:rPr>
        <w:t>政务公开。严格遵循“先审核后公开”“谁公开谁审核、谁审核谁负责”的原则，严格落实政务信息公开“三审</w:t>
      </w:r>
      <w:r>
        <w:rPr>
          <w:rFonts w:hint="eastAsia" w:ascii="方正仿宋简体" w:hAnsi="方正仿宋简体" w:eastAsia="方正仿宋简体" w:cs="方正仿宋简体"/>
          <w:b/>
          <w:bCs w:val="0"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  <w:t>三校</w:t>
      </w:r>
      <w:r>
        <w:rPr>
          <w:rFonts w:hint="eastAsia" w:ascii="方正仿宋简体" w:hAnsi="方正仿宋简体" w:eastAsia="方正仿宋简体" w:cs="方正仿宋简体"/>
          <w:b/>
          <w:bCs w:val="0"/>
          <w:i w:val="0"/>
          <w:iCs w:val="0"/>
          <w:caps w:val="0"/>
          <w:color w:val="auto"/>
          <w:spacing w:val="8"/>
          <w:sz w:val="32"/>
          <w:szCs w:val="32"/>
          <w:shd w:val="clear" w:fill="FFFFFF"/>
        </w:rPr>
        <w:t>”制度，真正做到</w:t>
      </w:r>
      <w:r>
        <w:rPr>
          <w:rFonts w:hint="eastAsia" w:ascii="方正仿宋简体" w:hAnsi="方正仿宋简体" w:eastAsia="方正仿宋简体" w:cs="方正仿宋简体"/>
          <w:b/>
          <w:bCs w:val="0"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  <w:t>了</w:t>
      </w:r>
      <w:r>
        <w:rPr>
          <w:rFonts w:hint="eastAsia" w:ascii="方正仿宋简体" w:hAnsi="方正仿宋简体" w:eastAsia="方正仿宋简体" w:cs="方正仿宋简体"/>
          <w:b/>
          <w:bCs w:val="0"/>
          <w:i w:val="0"/>
          <w:iCs w:val="0"/>
          <w:caps w:val="0"/>
          <w:color w:val="auto"/>
          <w:spacing w:val="8"/>
          <w:sz w:val="32"/>
          <w:szCs w:val="32"/>
          <w:shd w:val="clear" w:fill="FFFFFF"/>
        </w:rPr>
        <w:t>涉密信息不上网，上网信息不涉密。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-105" w:rightChars="-50" w:firstLine="642" w:firstLineChars="200"/>
        <w:jc w:val="both"/>
        <w:textAlignment w:val="auto"/>
        <w:rPr>
          <w:rFonts w:hint="eastAsia" w:ascii="楷体" w:hAnsi="楷体" w:eastAsia="楷体" w:cs="楷体"/>
          <w:b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 w:val="0"/>
          <w:color w:val="auto"/>
          <w:sz w:val="32"/>
          <w:szCs w:val="32"/>
          <w:lang w:val="en-US" w:eastAsia="zh-CN"/>
        </w:rPr>
        <w:t>平台建设情况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textAlignment w:val="auto"/>
        <w:rPr>
          <w:rFonts w:hint="eastAsia" w:ascii="方正仿宋简体" w:hAnsi="方正仿宋简体" w:eastAsia="方正仿宋简体" w:cs="方正仿宋简体"/>
          <w:b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在</w:t>
      </w:r>
      <w:r>
        <w:rPr>
          <w:rFonts w:hint="default" w:ascii="方正仿宋简体" w:eastAsia="方正仿宋简体"/>
          <w:b/>
          <w:color w:val="000000"/>
          <w:sz w:val="32"/>
          <w:szCs w:val="32"/>
          <w:lang w:val="en-US" w:eastAsia="zh-CN"/>
        </w:rPr>
        <w:t>“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济宁经开住建</w:t>
      </w:r>
      <w:r>
        <w:rPr>
          <w:rFonts w:hint="default" w:ascii="方正仿宋简体" w:eastAsia="方正仿宋简体"/>
          <w:b/>
          <w:color w:val="000000"/>
          <w:sz w:val="32"/>
          <w:szCs w:val="32"/>
          <w:lang w:val="en-US" w:eastAsia="zh-CN"/>
        </w:rPr>
        <w:t>”微信公众号，及时发布本单位相关政务信息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。根据加强政务新媒体管理工作要求，2023年8月29日申请注销“济宁经开住建”微信订阅号。</w:t>
      </w:r>
      <w:r>
        <w:rPr>
          <w:rFonts w:hint="eastAsia" w:ascii="方正仿宋简体" w:hAnsi="方正仿宋简体" w:eastAsia="方正仿宋简体" w:cs="方正仿宋简体"/>
          <w:b/>
          <w:bCs w:val="0"/>
          <w:color w:val="auto"/>
          <w:sz w:val="32"/>
          <w:szCs w:val="32"/>
        </w:rPr>
        <w:t>2023年以来，通过“互联网+安全生产”的技术手段，为我局和生产经营单位提供全方位的安全技术服务保障，构建了安全生产技术服务领域新业态，安全信息化建设成效明显，形成了部门监管有效、企业责任落实有力的工作格局，安全生产管理公开工作也更加高效和便捷。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-105" w:rightChars="-50" w:firstLine="642" w:firstLineChars="200"/>
        <w:jc w:val="both"/>
        <w:textAlignment w:val="auto"/>
        <w:rPr>
          <w:rFonts w:hint="eastAsia" w:ascii="楷体" w:hAnsi="楷体" w:eastAsia="楷体" w:cs="楷体"/>
          <w:b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 w:val="0"/>
          <w:color w:val="auto"/>
          <w:sz w:val="32"/>
          <w:szCs w:val="32"/>
          <w:lang w:val="en-US" w:eastAsia="zh-CN"/>
        </w:rPr>
        <w:t>监督保障情况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2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b/>
          <w:bCs w:val="0"/>
          <w:color w:val="auto"/>
          <w:spacing w:val="8"/>
          <w:kern w:val="0"/>
          <w:sz w:val="32"/>
          <w:szCs w:val="32"/>
          <w:lang w:val="en-US" w:eastAsia="zh-CN" w:bidi="ar"/>
        </w:rPr>
      </w:pPr>
      <w:r>
        <w:rPr>
          <w:rFonts w:hint="eastAsia" w:ascii="方正仿宋简体" w:hAnsi="方正仿宋简体" w:eastAsia="方正仿宋简体" w:cs="方正仿宋简体"/>
          <w:b/>
          <w:bCs w:val="0"/>
          <w:color w:val="auto"/>
          <w:sz w:val="32"/>
          <w:szCs w:val="32"/>
          <w:lang w:val="en-US" w:eastAsia="zh-CN"/>
        </w:rPr>
        <w:t>建立了激励和问责机制，将政务公开工作纳入各科室年度考核。</w:t>
      </w:r>
      <w:r>
        <w:rPr>
          <w:rFonts w:hint="eastAsia" w:ascii="方正仿宋简体" w:hAnsi="方正仿宋简体" w:eastAsia="方正仿宋简体" w:cs="方正仿宋简体"/>
          <w:b/>
          <w:bCs w:val="0"/>
          <w:i w:val="0"/>
          <w:iCs w:val="0"/>
          <w:caps w:val="0"/>
          <w:color w:val="auto"/>
          <w:spacing w:val="0"/>
          <w:sz w:val="32"/>
          <w:szCs w:val="32"/>
        </w:rPr>
        <w:t>常态化组织</w:t>
      </w:r>
      <w:r>
        <w:rPr>
          <w:rFonts w:hint="eastAsia" w:ascii="方正仿宋简体" w:hAnsi="方正仿宋简体" w:eastAsia="方正仿宋简体" w:cs="方正仿宋简体"/>
          <w:b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部门</w:t>
      </w:r>
      <w:r>
        <w:rPr>
          <w:rFonts w:hint="eastAsia" w:ascii="方正仿宋简体" w:hAnsi="方正仿宋简体" w:eastAsia="方正仿宋简体" w:cs="方正仿宋简体"/>
          <w:b/>
          <w:bCs w:val="0"/>
          <w:i w:val="0"/>
          <w:iCs w:val="0"/>
          <w:caps w:val="0"/>
          <w:color w:val="auto"/>
          <w:spacing w:val="0"/>
          <w:sz w:val="32"/>
          <w:szCs w:val="32"/>
        </w:rPr>
        <w:t>全体</w:t>
      </w:r>
      <w:r>
        <w:rPr>
          <w:rFonts w:hint="eastAsia" w:ascii="方正仿宋简体" w:hAnsi="方正仿宋简体" w:eastAsia="方正仿宋简体" w:cs="方正仿宋简体"/>
          <w:b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职工</w:t>
      </w:r>
      <w:r>
        <w:rPr>
          <w:rFonts w:hint="eastAsia" w:ascii="方正仿宋简体" w:hAnsi="方正仿宋简体" w:eastAsia="方正仿宋简体" w:cs="方正仿宋简体"/>
          <w:b/>
          <w:bCs w:val="0"/>
          <w:i w:val="0"/>
          <w:iCs w:val="0"/>
          <w:caps w:val="0"/>
          <w:color w:val="auto"/>
          <w:spacing w:val="0"/>
          <w:sz w:val="32"/>
          <w:szCs w:val="32"/>
        </w:rPr>
        <w:t>集中学习新《条例》，让全体</w:t>
      </w:r>
      <w:r>
        <w:rPr>
          <w:rFonts w:hint="eastAsia" w:ascii="方正仿宋简体" w:hAnsi="方正仿宋简体" w:eastAsia="方正仿宋简体" w:cs="方正仿宋简体"/>
          <w:b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职工了解了</w:t>
      </w:r>
      <w:r>
        <w:rPr>
          <w:rFonts w:hint="eastAsia" w:ascii="方正仿宋简体" w:hAnsi="方正仿宋简体" w:eastAsia="方正仿宋简体" w:cs="方正仿宋简体"/>
          <w:b/>
          <w:bCs w:val="0"/>
          <w:i w:val="0"/>
          <w:iCs w:val="0"/>
          <w:caps w:val="0"/>
          <w:color w:val="auto"/>
          <w:spacing w:val="0"/>
          <w:sz w:val="32"/>
          <w:szCs w:val="32"/>
        </w:rPr>
        <w:t>信息公开的重要性和迫切性，通过宣传和学习，极大地提高了单位各科室参与政务公开工作的主动性和自觉性</w:t>
      </w:r>
      <w:r>
        <w:rPr>
          <w:rFonts w:hint="eastAsia" w:ascii="方正仿宋简体" w:hAnsi="方正仿宋简体" w:eastAsia="方正仿宋简体" w:cs="方正仿宋简体"/>
          <w:b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。</w:t>
      </w:r>
    </w:p>
    <w:p>
      <w:pPr>
        <w:spacing w:line="590" w:lineRule="exact"/>
        <w:ind w:right="-105" w:rightChars="-50" w:firstLine="642" w:firstLineChars="200"/>
        <w:rPr>
          <w:rFonts w:ascii="方正黑体简体" w:eastAsia="方正黑体简体"/>
          <w:b/>
          <w:color w:val="auto"/>
          <w:sz w:val="32"/>
          <w:szCs w:val="32"/>
        </w:rPr>
      </w:pPr>
      <w:r>
        <w:rPr>
          <w:rFonts w:hint="eastAsia" w:ascii="方正黑体简体" w:eastAsia="方正黑体简体"/>
          <w:b/>
          <w:color w:val="auto"/>
          <w:sz w:val="32"/>
          <w:szCs w:val="32"/>
        </w:rPr>
        <w:t>二、主动公开政府信息情况</w:t>
      </w:r>
    </w:p>
    <w:tbl>
      <w:tblPr>
        <w:tblStyle w:val="5"/>
        <w:tblW w:w="882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</w:rPr>
            </w:pPr>
            <w:bookmarkStart w:id="0" w:name="_GoBack"/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</w:rPr>
              <w:t>第二十条第（一）项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现行有效件数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仿宋_GB2312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</w:rPr>
              <w:t>第二十条第（五）项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</w:rPr>
              <w:t>第二十条第（六）项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仿宋_GB2312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仿宋_GB2312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</w:rPr>
              <w:t>第二十条第（八）项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仿宋_GB2312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bookmarkEnd w:id="0"/>
    </w:tbl>
    <w:p>
      <w:pPr>
        <w:spacing w:before="62" w:beforeLines="10" w:after="62" w:afterLines="10" w:line="600" w:lineRule="exact"/>
        <w:ind w:firstLine="642" w:firstLineChars="200"/>
        <w:rPr>
          <w:rFonts w:ascii="方正黑体简体" w:eastAsia="方正黑体简体"/>
          <w:b/>
          <w:color w:val="auto"/>
          <w:sz w:val="32"/>
          <w:szCs w:val="32"/>
        </w:rPr>
      </w:pPr>
      <w:r>
        <w:rPr>
          <w:rFonts w:hint="eastAsia" w:ascii="方正黑体简体" w:eastAsia="方正黑体简体"/>
          <w:b/>
          <w:color w:val="auto"/>
          <w:sz w:val="32"/>
          <w:szCs w:val="32"/>
        </w:rPr>
        <w:t>三、收到和处理政府信息公开申请情况</w:t>
      </w:r>
    </w:p>
    <w:tbl>
      <w:tblPr>
        <w:tblStyle w:val="5"/>
        <w:tblW w:w="954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1701"/>
        <w:gridCol w:w="2976"/>
        <w:gridCol w:w="747"/>
        <w:gridCol w:w="5"/>
        <w:gridCol w:w="535"/>
        <w:gridCol w:w="5"/>
        <w:gridCol w:w="535"/>
        <w:gridCol w:w="720"/>
        <w:gridCol w:w="675"/>
        <w:gridCol w:w="525"/>
        <w:gridCol w:w="1"/>
        <w:gridCol w:w="70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5093" w:type="dxa"/>
            <w:gridSpan w:val="3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/>
                <w:color w:val="auto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color w:val="auto"/>
                <w:kern w:val="0"/>
                <w:szCs w:val="21"/>
              </w:rPr>
              <w:t>（本列数据的勾稽关系为：第一项加第二项之和，</w:t>
            </w:r>
          </w:p>
          <w:p>
            <w:pPr>
              <w:widowControl/>
              <w:jc w:val="center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楷体_GB2312" w:hAnsi="黑体" w:eastAsia="楷体_GB2312"/>
                <w:color w:val="auto"/>
                <w:kern w:val="0"/>
                <w:szCs w:val="21"/>
              </w:rPr>
              <w:t>等于第三项加第四项之和）</w:t>
            </w:r>
          </w:p>
        </w:tc>
        <w:tc>
          <w:tcPr>
            <w:tcW w:w="4448" w:type="dxa"/>
            <w:gridSpan w:val="10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093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color w:val="auto"/>
                <w:szCs w:val="21"/>
              </w:rPr>
            </w:pPr>
          </w:p>
        </w:tc>
        <w:tc>
          <w:tcPr>
            <w:tcW w:w="747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自然人</w:t>
            </w:r>
          </w:p>
        </w:tc>
        <w:tc>
          <w:tcPr>
            <w:tcW w:w="3000" w:type="dxa"/>
            <w:gridSpan w:val="7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法人或其他组织</w:t>
            </w:r>
          </w:p>
        </w:tc>
        <w:tc>
          <w:tcPr>
            <w:tcW w:w="701" w:type="dxa"/>
            <w:gridSpan w:val="2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总计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5093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color w:val="auto"/>
                <w:szCs w:val="21"/>
              </w:rPr>
            </w:pPr>
          </w:p>
        </w:tc>
        <w:tc>
          <w:tcPr>
            <w:tcW w:w="747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商业企业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科研机构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社会公益组织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法律服务机构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left="-63" w:leftChars="-30" w:right="-134" w:rightChars="-64"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其他</w:t>
            </w:r>
          </w:p>
        </w:tc>
        <w:tc>
          <w:tcPr>
            <w:tcW w:w="701" w:type="dxa"/>
            <w:gridSpan w:val="2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一、本年新收政府信息公开申请数量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2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二、上年结转政府信息公开申请数量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三、本年度办理结果</w:t>
            </w:r>
          </w:p>
        </w:tc>
        <w:tc>
          <w:tcPr>
            <w:tcW w:w="4677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（一）予以公开</w:t>
            </w:r>
          </w:p>
        </w:tc>
        <w:tc>
          <w:tcPr>
            <w:tcW w:w="752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2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4677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（二）部分公开（区分处理的，只计这一情形，不计其他情形）</w:t>
            </w:r>
          </w:p>
        </w:tc>
        <w:tc>
          <w:tcPr>
            <w:tcW w:w="752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（三）不予公开</w:t>
            </w: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1.属于国家秘密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2.其他法律行政法规禁止公开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3.危及“三安全一稳定”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4.保护第三方合法权益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5.属于三类内部事务信息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6.属于四类过程性信息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7.属于行政执法案卷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8.属于行政查询事项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（四）无法提供</w:t>
            </w: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1.本机关不掌握相关政府信息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7" w:leftChars="-51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2.没有现成信息需要另行制作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7" w:leftChars="-51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3.补正后申请内容仍不明确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（五）不予处理</w:t>
            </w: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1.信访举报投诉类申请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2.重复申请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3.要求提供公开出版物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4.无正当理由大量反复申请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5.要求行政机关确认或重新</w:t>
            </w:r>
          </w:p>
          <w:p>
            <w:pPr>
              <w:widowControl/>
              <w:spacing w:line="300" w:lineRule="exact"/>
              <w:ind w:firstLine="210" w:firstLineChars="100"/>
              <w:rPr>
                <w:rFonts w:ascii="仿宋_GB2312" w:hAnsi="黑体" w:eastAsia="仿宋_GB2312"/>
                <w:color w:val="auto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出具已获取信息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（六）其他处理</w:t>
            </w:r>
          </w:p>
        </w:tc>
        <w:tc>
          <w:tcPr>
            <w:tcW w:w="2976" w:type="dxa"/>
            <w:noWrap w:val="0"/>
            <w:vAlign w:val="center"/>
          </w:tcPr>
          <w:p>
            <w:pPr>
              <w:widowControl/>
              <w:spacing w:line="300" w:lineRule="exact"/>
              <w:rPr>
                <w:rFonts w:ascii="仿宋_GB2312" w:hAnsi="楷体" w:eastAsia="仿宋_GB2312"/>
                <w:color w:val="auto"/>
              </w:rPr>
            </w:pPr>
            <w:r>
              <w:rPr>
                <w:rFonts w:hint="eastAsia" w:ascii="仿宋_GB2312" w:hAnsi="楷体" w:eastAsia="仿宋_GB2312"/>
                <w:color w:val="auto"/>
              </w:rPr>
              <w:t>1.申请人无正当理由逾期不补正、行政机关不再处理其政府信息公开申请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color w:val="auto"/>
                <w:kern w:val="0"/>
                <w:szCs w:val="21"/>
              </w:rPr>
            </w:pPr>
          </w:p>
        </w:tc>
        <w:tc>
          <w:tcPr>
            <w:tcW w:w="2976" w:type="dxa"/>
            <w:noWrap w:val="0"/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  <w:color w:val="auto"/>
              </w:rPr>
              <w:t>2.申请人逾期未按收费通知要求缴纳费用、行政机关不再处理其政府信息公开申请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color w:val="auto"/>
                <w:kern w:val="0"/>
                <w:szCs w:val="21"/>
              </w:rPr>
            </w:pPr>
          </w:p>
        </w:tc>
        <w:tc>
          <w:tcPr>
            <w:tcW w:w="2976" w:type="dxa"/>
            <w:noWrap w:val="0"/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  <w:color w:val="auto"/>
              </w:rPr>
              <w:t>3.其他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  <w:lang w:val="en-US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4677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（七）总计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2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  <w:lang w:val="en-US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93" w:type="dxa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四、结转下年度继续办理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  <w:lang w:val="en-US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</w:tbl>
    <w:p>
      <w:pPr>
        <w:spacing w:line="590" w:lineRule="exact"/>
        <w:ind w:right="-105" w:rightChars="-50" w:firstLine="642" w:firstLineChars="200"/>
        <w:rPr>
          <w:rFonts w:ascii="方正黑体简体" w:eastAsia="方正黑体简体"/>
          <w:b/>
          <w:color w:val="auto"/>
          <w:sz w:val="32"/>
          <w:szCs w:val="32"/>
        </w:rPr>
      </w:pPr>
      <w:r>
        <w:rPr>
          <w:rFonts w:hint="eastAsia" w:ascii="方正黑体简体" w:eastAsia="方正黑体简体"/>
          <w:b/>
          <w:color w:val="auto"/>
          <w:sz w:val="32"/>
          <w:szCs w:val="32"/>
        </w:rPr>
        <w:t>四、政府信息公开行政复议、行政诉讼情况</w:t>
      </w:r>
    </w:p>
    <w:tbl>
      <w:tblPr>
        <w:tblStyle w:val="5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43" w:leftChars="-21" w:right="-132" w:rightChars="-63" w:hanging="1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2" w:leftChars="-39" w:right="-97" w:rightChars="-46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总</w:t>
            </w:r>
          </w:p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05" w:leftChars="-50" w:right="-126" w:rightChars="-60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6" w:leftChars="-41" w:right="-88" w:rightChars="-42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99" w:leftChars="-47" w:right="-78" w:rightChars="-37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67" w:leftChars="-33" w:right="-105" w:rightChars="-50" w:hanging="2" w:hangingChars="1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</w:tbl>
    <w:p>
      <w:pPr>
        <w:spacing w:line="590" w:lineRule="exact"/>
        <w:ind w:right="-105" w:rightChars="-50" w:firstLine="642" w:firstLineChars="200"/>
        <w:rPr>
          <w:rFonts w:ascii="方正黑体简体" w:eastAsia="方正黑体简体"/>
          <w:b/>
          <w:color w:val="auto"/>
          <w:sz w:val="32"/>
          <w:szCs w:val="32"/>
        </w:rPr>
      </w:pPr>
      <w:r>
        <w:rPr>
          <w:rFonts w:hint="eastAsia" w:ascii="方正黑体简体" w:eastAsia="方正黑体简体"/>
          <w:b/>
          <w:color w:val="auto"/>
          <w:sz w:val="32"/>
          <w:szCs w:val="32"/>
        </w:rPr>
        <w:t>五、存在的主要问题及改进情况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 w:firstLine="642" w:firstLineChars="200"/>
        <w:textAlignment w:val="auto"/>
        <w:rPr>
          <w:rFonts w:hint="eastAsia" w:ascii="方正仿宋简体" w:hAnsi="方正仿宋简体" w:eastAsia="方正仿宋简体" w:cs="方正仿宋简体"/>
          <w:b/>
          <w:color w:val="auto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/>
          <w:color w:val="auto"/>
          <w:sz w:val="32"/>
          <w:szCs w:val="32"/>
          <w:highlight w:val="none"/>
          <w:lang w:val="en-US" w:eastAsia="zh-CN"/>
        </w:rPr>
        <w:t>2023年我局信息公开工作主要存在以下问题：一是思想认识不到位。存在只是把政务公开工作看作是一项事务性工作，没有从转变政府职能、执政为民、加强党的执政能力建设的高度来认识并推进这一工作的情况。二是信息公开的内容还有待进一步完善。信息公开内容不够通俗易懂，存在专业词汇难以理解的情况。结合工作中存在问题和不足，在今后的工作中，我局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highlight w:val="none"/>
        </w:rPr>
        <w:t>将进-步加大政务公开的工作力度，有效保障人民群众的知情权、参与权和监督权。</w:t>
      </w:r>
      <w:r>
        <w:rPr>
          <w:rFonts w:hint="eastAsia" w:ascii="方正仿宋简体" w:hAnsi="方正仿宋简体" w:eastAsia="方正仿宋简体" w:cs="方正仿宋简体"/>
          <w:b/>
          <w:color w:val="auto"/>
          <w:sz w:val="32"/>
          <w:szCs w:val="32"/>
          <w:highlight w:val="none"/>
          <w:lang w:val="en-US" w:eastAsia="zh-CN"/>
        </w:rPr>
        <w:t>一要正视问题，切实提高重视程度。要进一步提</w:t>
      </w:r>
      <w:r>
        <w:rPr>
          <w:rFonts w:hint="eastAsia" w:ascii="方正仿宋简体" w:hAnsi="方正仿宋简体" w:eastAsia="方正仿宋简体" w:cs="方正仿宋简体"/>
          <w:b/>
          <w:color w:val="auto"/>
          <w:sz w:val="32"/>
          <w:szCs w:val="32"/>
          <w:lang w:val="en-US" w:eastAsia="zh-CN"/>
        </w:rPr>
        <w:t>高政治站位，真正肩负起责任，认真对城乡建设和交通局政务公开工作进行全面清查，主动作为，创新思路，最短时间内完成问题整改，提升政务公开工作整体质效和水平。二要明确目标，突出抓好工作重点。一方面着力加大主动公开力度，加大重点领域（建筑施工、燃气、公租房等）信息公开；同时着力提升解读回应水平，坚持“应解读，尽解读”“谁起草，谁解读”的原则，尽量使用通俗易懂的语言文字，避免过于公文化和专业化。三要强化学习，切实做好政务公开。常态化组织干部职工学习《中华人民共和国政府信息公开条例》以及政务公开应知应会等知识，通过与兄弟单位学习交流等方式拓展本单位工作方式方法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 w:firstLine="642" w:firstLineChars="200"/>
        <w:textAlignment w:val="auto"/>
        <w:rPr>
          <w:rFonts w:ascii="方正黑体简体" w:eastAsia="方正黑体简体"/>
          <w:b/>
          <w:color w:val="auto"/>
          <w:sz w:val="32"/>
          <w:szCs w:val="32"/>
        </w:rPr>
      </w:pPr>
      <w:r>
        <w:rPr>
          <w:rFonts w:hint="eastAsia" w:ascii="方正黑体简体" w:eastAsia="方正黑体简体"/>
          <w:b/>
          <w:color w:val="auto"/>
          <w:sz w:val="32"/>
          <w:szCs w:val="32"/>
        </w:rPr>
        <w:t>六、其他需要报告的事项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2" w:firstLineChars="200"/>
        <w:textAlignment w:val="auto"/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val="en-US" w:eastAsia="zh-CN"/>
        </w:rPr>
        <w:t>一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eastAsia="zh-CN"/>
        </w:rPr>
        <w:t>）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</w:rPr>
        <w:t>依据《政府信息公开信息处理费管理办法》收取信息处理费的情况：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2" w:firstLineChars="200"/>
        <w:textAlignment w:val="auto"/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eastAsia="zh-CN"/>
        </w:rPr>
        <w:t>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2" w:firstLineChars="200"/>
        <w:textAlignment w:val="auto"/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highlight w:val="none"/>
          <w:lang w:val="en-US" w:eastAsia="zh-CN"/>
        </w:rPr>
        <w:t>二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highlight w:val="none"/>
        </w:rPr>
        <w:t>落实上级年度政务公开工作要点情况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highlight w:val="none"/>
          <w:lang w:eastAsia="zh-CN"/>
        </w:rPr>
        <w:t>：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-105" w:rightChars="-50" w:firstLine="642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8"/>
          <w:sz w:val="32"/>
          <w:szCs w:val="32"/>
          <w:highlight w:val="none"/>
          <w:shd w:val="clear" w:fill="FFFFFF"/>
        </w:rPr>
      </w:pP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val="en-US" w:eastAsia="zh-CN"/>
        </w:rPr>
        <w:t>一是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8"/>
          <w:sz w:val="32"/>
          <w:szCs w:val="32"/>
          <w:highlight w:val="none"/>
          <w:shd w:val="clear" w:fill="FFFFFF"/>
        </w:rPr>
        <w:t>强化组织领导，健全政务公开领导机构，及时调整工作领导小组成员，定期召开会议研究解决重点难点问题，为推进政务公开工作发挥统筹协调作用。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-105" w:rightChars="-50" w:firstLine="674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8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8"/>
          <w:sz w:val="32"/>
          <w:szCs w:val="32"/>
          <w:highlight w:val="none"/>
          <w:shd w:val="clear" w:fill="FFFFFF"/>
          <w:lang w:val="en-US" w:eastAsia="zh-CN"/>
        </w:rPr>
        <w:t>二是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pacing w:val="8"/>
          <w:kern w:val="0"/>
          <w:sz w:val="32"/>
          <w:szCs w:val="32"/>
          <w:lang w:val="en-US" w:eastAsia="zh-CN" w:bidi="ar"/>
        </w:rPr>
        <w:t>强化公开力度，聚焦济宁经开区住建领域重点工作，立足职能定位，扎实做好服务经济社会高质量发展信息公开，动态发布营商环境、获得用气等项目信息和开展情况。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-105" w:rightChars="-50" w:firstLine="674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8"/>
          <w:sz w:val="32"/>
          <w:szCs w:val="32"/>
          <w:highlight w:val="none"/>
          <w:shd w:val="clear" w:fill="FFFFFF"/>
          <w:lang w:val="en-US" w:eastAsia="zh-CN"/>
        </w:rPr>
        <w:t>三是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8"/>
          <w:sz w:val="32"/>
          <w:szCs w:val="32"/>
          <w:highlight w:val="none"/>
          <w:shd w:val="clear" w:fill="FFFFFF"/>
        </w:rPr>
        <w:t>强化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8"/>
          <w:sz w:val="32"/>
          <w:szCs w:val="32"/>
          <w:highlight w:val="none"/>
          <w:shd w:val="clear" w:fill="FFFFFF"/>
          <w:lang w:val="en-US" w:eastAsia="zh-CN"/>
        </w:rPr>
        <w:t>信息审核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8"/>
          <w:sz w:val="32"/>
          <w:szCs w:val="32"/>
          <w:highlight w:val="none"/>
          <w:shd w:val="clear" w:fill="FFFFFF"/>
        </w:rPr>
        <w:t>，坚持公开与保密的有机统一的原则，在政务公开中加强保密，在保密中推行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8"/>
          <w:sz w:val="32"/>
          <w:szCs w:val="32"/>
          <w:shd w:val="clear" w:fill="FFFFFF"/>
        </w:rPr>
        <w:t>政务公开。严格落实政务信息公开“三审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  <w:t>三校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8"/>
          <w:sz w:val="32"/>
          <w:szCs w:val="32"/>
          <w:shd w:val="clear" w:fill="FFFFFF"/>
        </w:rPr>
        <w:t>”制度，真正做到涉密信息不上网，上网信息不涉密。</w:t>
      </w:r>
    </w:p>
    <w:sectPr>
      <w:pgSz w:w="11906" w:h="16838"/>
      <w:pgMar w:top="1701" w:right="1531" w:bottom="170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D01A9DF"/>
    <w:multiLevelType w:val="singleLevel"/>
    <w:tmpl w:val="1D01A9DF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NkYTc2ZmI0NmYxNmRmNTJlYjZmZmM0MzNhMGU5MDYifQ=="/>
  </w:docVars>
  <w:rsids>
    <w:rsidRoot w:val="26C30297"/>
    <w:rsid w:val="0DC53615"/>
    <w:rsid w:val="11001706"/>
    <w:rsid w:val="12BB58E4"/>
    <w:rsid w:val="14994398"/>
    <w:rsid w:val="17283764"/>
    <w:rsid w:val="18534811"/>
    <w:rsid w:val="196D1903"/>
    <w:rsid w:val="19AD4059"/>
    <w:rsid w:val="1C7B60E4"/>
    <w:rsid w:val="1CE7177B"/>
    <w:rsid w:val="1F8A72F3"/>
    <w:rsid w:val="236B2EE4"/>
    <w:rsid w:val="237B189F"/>
    <w:rsid w:val="26C30297"/>
    <w:rsid w:val="2E1E3349"/>
    <w:rsid w:val="307534B5"/>
    <w:rsid w:val="335C2374"/>
    <w:rsid w:val="38D458DC"/>
    <w:rsid w:val="39B9243C"/>
    <w:rsid w:val="401E48C1"/>
    <w:rsid w:val="45CD0EAF"/>
    <w:rsid w:val="486D14F5"/>
    <w:rsid w:val="4BAE52DF"/>
    <w:rsid w:val="4CBC598F"/>
    <w:rsid w:val="4CCA6149"/>
    <w:rsid w:val="4E1F5137"/>
    <w:rsid w:val="4EE84139"/>
    <w:rsid w:val="52B458D1"/>
    <w:rsid w:val="549734E7"/>
    <w:rsid w:val="57174535"/>
    <w:rsid w:val="61DE64C6"/>
    <w:rsid w:val="6599280F"/>
    <w:rsid w:val="6BC71D79"/>
    <w:rsid w:val="6DAC492C"/>
    <w:rsid w:val="6E9879FD"/>
    <w:rsid w:val="71E917D9"/>
    <w:rsid w:val="7A0B0041"/>
    <w:rsid w:val="7A2F7467"/>
    <w:rsid w:val="7ABA5FAD"/>
    <w:rsid w:val="7CFC2781"/>
    <w:rsid w:val="7FFB6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chart" Target="charts/chart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package" Target="../embeddings/Workbook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false"/>
  <c:lang val="zh-CN"/>
  <c:roundedCorners val="false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true"/>
          <a:lstStyle/>
          <a:p>
            <a:pPr defTabSz="914400">
              <a:defRPr lang="zh-CN" sz="1400" b="1" i="0" u="none" strike="noStrike" kern="1200" baseline="0">
                <a:solidFill>
                  <a:schemeClr val="tx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t>依申请公开件数</a:t>
            </a:r>
          </a:p>
        </c:rich>
      </c:tx>
      <c:layout/>
      <c:overlay val="false"/>
      <c:spPr>
        <a:noFill/>
        <a:ln>
          <a:noFill/>
        </a:ln>
        <a:effectLst/>
      </c:spPr>
    </c:title>
    <c:autoTitleDeleted val="false"/>
    <c:plotArea>
      <c:layout/>
      <c:barChart>
        <c:barDir val="col"/>
        <c:grouping val="clustered"/>
        <c:varyColors val="false"/>
        <c:ser>
          <c:idx val="0"/>
          <c:order val="0"/>
          <c:tx>
            <c:strRef>
              <c:f>Sheet1!$B$1</c:f>
              <c:strCache>
                <c:ptCount val="1"/>
                <c:pt idx="0">
                  <c:v>系列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false"/>
          <c:dPt>
            <c:idx val="1"/>
            <c:invertIfNegative val="false"/>
            <c:bubble3D val="false"/>
          </c:dPt>
          <c:dLbls>
            <c:delete val="true"/>
          </c:dLbls>
          <c:cat>
            <c:strRef>
              <c:f>Sheet1!$A$2:$A$3</c:f>
              <c:strCache>
                <c:ptCount val="2"/>
                <c:pt idx="0">
                  <c:v>2022年</c:v>
                </c:pt>
                <c:pt idx="1">
                  <c:v>2023年</c:v>
                </c:pt>
              </c:strCache>
            </c:strRef>
          </c:cat>
          <c:val>
            <c:numRef>
              <c:f>Sheet1!$B$2:$B$3</c:f>
              <c:numCache>
                <c:formatCode>General</c:formatCode>
                <c:ptCount val="2"/>
                <c:pt idx="0">
                  <c:v>0</c:v>
                </c:pt>
                <c:pt idx="1">
                  <c:v>2</c:v>
                </c:pt>
              </c:numCache>
            </c:numRef>
          </c:val>
        </c:ser>
        <c:dLbls>
          <c:showLegendKey val="false"/>
          <c:showVal val="false"/>
          <c:showCatName val="false"/>
          <c:showSerName val="false"/>
          <c:showPercent val="false"/>
          <c:showBubbleSize val="false"/>
        </c:dLbls>
        <c:gapWidth val="246"/>
        <c:overlap val="-28"/>
        <c:axId val="987257986"/>
        <c:axId val="323961804"/>
      </c:barChart>
      <c:catAx>
        <c:axId val="987257986"/>
        <c:scaling>
          <c:orientation val="minMax"/>
        </c:scaling>
        <c:delete val="false"/>
        <c:axPos val="b"/>
        <c:numFmt formatCode="General" sourceLinked="true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true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323961804"/>
        <c:crosses val="autoZero"/>
        <c:auto val="true"/>
        <c:lblAlgn val="ctr"/>
        <c:lblOffset val="100"/>
        <c:noMultiLvlLbl val="false"/>
      </c:catAx>
      <c:valAx>
        <c:axId val="323961804"/>
        <c:scaling>
          <c:orientation val="minMax"/>
        </c:scaling>
        <c:delete val="false"/>
        <c:axPos val="l"/>
        <c:majorGridlines>
          <c:spPr>
            <a:ln w="9525" cap="flat" cmpd="sng" algn="ctr">
              <a:solidFill>
                <a:schemeClr val="lt1">
                  <a:lumMod val="90200"/>
                </a:schemeClr>
              </a:solidFill>
              <a:round/>
            </a:ln>
            <a:effectLst/>
          </c:spPr>
        </c:majorGridlines>
        <c:numFmt formatCode="General" sourceLinked="true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true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987257986"/>
        <c:crosses val="autoZero"/>
        <c:crossBetween val="between"/>
      </c:valAx>
      <c:spPr>
        <a:noFill/>
        <a:ln>
          <a:noFill/>
        </a:ln>
        <a:effectLst/>
      </c:spPr>
    </c:plotArea>
    <c:plotVisOnly val="true"/>
    <c:dispBlanksAs val="gap"/>
    <c:showDLblsOverMax val="false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false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100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0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000" kern="1200"/>
    <cs:bodyPr rot="0" spcFirstLastPara="1" vertOverflow="clip" horzOverflow="clip" vert="horz" wrap="square" lIns="36576" tIns="18288" rIns="36576" bIns="18288" anchor="ctr" anchorCtr="true">
      <a:spAutoFit/>
    </cs:bodyPr>
  </cs:dataLabelCallout>
  <cs:dataPoint>
    <cs:lnRef idx="0">
      <cs:styleClr val="auto"/>
    </cs:lnRef>
    <cs:fillRef idx="1">
      <cs:styleClr val="auto"/>
    </cs:fillRef>
    <cs:effectRef idx="0"/>
    <cs:fontRef idx="minor">
      <a:schemeClr val="dk1"/>
    </cs:fontRef>
    <cs:spPr>
      <a:ln>
        <a:noFill/>
      </a:ln>
      <a:effectLst/>
    </cs:spPr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02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75000"/>
        <a:lumOff val="25000"/>
      </a:schemeClr>
    </cs:fontRef>
    <cs:defRPr sz="1400" b="1" kern="120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18</TotalTime>
  <ScaleCrop>false</ScaleCrop>
  <LinksUpToDate>false</LinksUpToDate>
  <CharactersWithSpaces>0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2024-01-15T10:48:00Z</dcterms:created>
  <dc:creator>三藏不感冒</dc:creator>
  <cp:lastModifiedBy>user</cp:lastModifiedBy>
  <dcterms:modified xsi:type="dcterms:W3CDTF">2024-01-23T15:54:03Z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DE76F82E4BA645C0B9E6C0D7967DC3AD_13</vt:lpwstr>
  </property>
</Properties>
</file>