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ascii="Times New Roman" w:hAnsi="Times New Roman" w:eastAsia="方正仿宋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济宁经济技术开发区行政审批服务局2021年政府信息公开工作年度报告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hint="eastAsia" w:ascii="Times New Roman" w:hAnsi="Times New Roman" w:eastAsia="方正仿宋简体"/>
          <w:b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仿宋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本报告根据《中华人民共和国政府信息公开条例》（以下简称条例）及省、市、区关于政府信息公开工作的有关规定编制而成，特向社会公布，接受社会监督。本报告包括总体情况、主动公开政府信息情况、收到和处理政府信息公开申请情况、政府信息公开行政复议和行政诉讼情况、存在的主要问题及改进情况、其他需要报告的事项六部分。本年度报告中所列数据的统计期限自202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年1月1日起至202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年12月31日止。如对本报告有任何疑问，请联系：济宁经济开发区行政审批服务局行政科，电子邮箱：jnjkqspj@ji.shandong.cn，联系电话：0537－6990914，邮编：272415。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黑体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黑体简体"/>
          <w:b/>
          <w:kern w:val="2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hint="eastAsia" w:ascii="Times New Roman" w:hAnsi="Times New Roman" w:eastAsia="方正仿宋简体"/>
          <w:b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年，济宁经济开发区行政审批局认真贯彻落实《条例》和区管委会相关文件精神，结合行政审批工作实际，制定了《济宁经济开发区行政审批服务局政务公开工作实施方案》，加强主动公开和解读回应工作，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大力推进项目批准实施、“放管服”改革、营商环境评价、决策部署等信息公开，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提升政府信息公开的质量和时效。202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年，我局结合部门职能，对行政审批权责清单、重点工作推进会议、为民服务公告、行政许可事项办结结果等工作动态进行了公开。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2021年主动公开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基础内容162条，公开业务领域信息5469条，依申请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公开政府信息39760件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其中工作动态、通知公告49条，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通过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“济宁经开区政务服务”微信公众号发布信息22条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lang w:val="en-US" w:eastAsia="zh-CN"/>
        </w:rPr>
        <w:t>通过“山东济宁经济开发区”微博发布信息1条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方正楷体简体" w:hAnsi="Times New Roman" w:eastAsia="方正楷体简体"/>
          <w:b/>
          <w:bCs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/>
          <w:b/>
          <w:bCs/>
          <w:color w:val="000000"/>
          <w:sz w:val="32"/>
          <w:szCs w:val="32"/>
        </w:rPr>
        <w:t>（一）主动公开情况</w:t>
      </w:r>
    </w:p>
    <w:p>
      <w:pPr>
        <w:pStyle w:val="4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baseline"/>
        <w:rPr>
          <w:rFonts w:ascii="方正楷体简体" w:hAnsi="宋体" w:eastAsia="方正楷体简体"/>
          <w:b/>
          <w:bCs/>
          <w:color w:val="000000"/>
          <w:sz w:val="32"/>
          <w:szCs w:val="32"/>
        </w:rPr>
      </w:pPr>
      <w:r>
        <w:rPr>
          <w:rFonts w:hint="eastAsia" w:ascii="方正楷体简体" w:hAnsi="宋体" w:eastAsia="方正楷体简体"/>
          <w:b/>
          <w:bCs/>
          <w:color w:val="000000"/>
          <w:sz w:val="32"/>
          <w:szCs w:val="32"/>
        </w:rPr>
        <w:t>1.基础内容公开情况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hint="default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</w:rPr>
        <w:t>通过济宁经济技术开发区门户网站信息公开栏目公开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val="en-US" w:eastAsia="zh-CN"/>
        </w:rPr>
        <w:t>部门规范性文件1份，政策文件89件；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</w:rPr>
        <w:t>重要政策措施解读文件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</w:rPr>
        <w:t>份；部门会议信息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</w:rPr>
        <w:t>条；更新济宁经济开发区行政审批服务局权责清单1条；济宁经济技术开发区行政审批服务局职责边界清单1条；工作动态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</w:rPr>
        <w:t>条；通知公告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/>
          <w:b/>
          <w:color w:val="auto"/>
          <w:kern w:val="2"/>
          <w:sz w:val="32"/>
          <w:szCs w:val="32"/>
          <w:highlight w:val="none"/>
          <w:lang w:val="en-US" w:eastAsia="zh-CN"/>
        </w:rPr>
        <w:t>图解8条；按照规定公开了2021年部门预决算。</w:t>
      </w:r>
    </w:p>
    <w:p>
      <w:pPr>
        <w:pStyle w:val="4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baseline"/>
        <w:rPr>
          <w:rFonts w:ascii="方正楷体简体" w:hAnsi="宋体" w:eastAsia="方正楷体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楷体简体" w:hAnsi="宋体" w:eastAsia="方正楷体简体"/>
          <w:b/>
          <w:bCs/>
          <w:color w:val="000000"/>
          <w:sz w:val="32"/>
          <w:szCs w:val="32"/>
          <w:highlight w:val="none"/>
        </w:rPr>
        <w:t>2.业务领域信息公开情况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仿宋简体"/>
          <w:b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（1）行政许可公示情况。按照时限要求，在山东政务服务网站及时发布行政审批信息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5426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仿宋简体"/>
          <w:b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（2）处理群众投诉情况。我局设置专职工作人员负责群众投诉受理工作，对上级转办的群众投诉以及受理的群众来电、来人反映的问题，严格按程序办理、按时回复，实实在在为群众解决困难和问题。一年来，收到各类投诉信息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件，除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件申请事项不属于我局职能范围不予受理外，其余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件均认真办理答复。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仿宋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（3）申请行政复议、提起行政诉讼情况。202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年办理行政复议维持具体行政行为数0件，结果纠正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0件；行政诉讼未经复议直接起诉结果维持0件、结果纠正0件、其他结果0件、尚未审结0件；行政诉讼复议后起诉结果维持0件。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（4）做好重要政策措施解读工作。对公布的规范性文件《济宁经济开发区政务服务“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双全双百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实施方案》进行了政策解读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baseline"/>
        <w:rPr>
          <w:rFonts w:ascii="方正楷体简体" w:hAnsi="Times New Roman" w:eastAsia="方正楷体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楷体简体" w:hAnsi="Times New Roman" w:eastAsia="方正楷体简体"/>
          <w:b/>
          <w:bCs/>
          <w:color w:val="000000"/>
          <w:sz w:val="32"/>
          <w:szCs w:val="32"/>
          <w:highlight w:val="none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仿宋简体"/>
          <w:b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  <w:highlight w:val="none"/>
        </w:rPr>
        <w:t>2021年共受理政府信息公开申请数量39760件，网上咨询89件。</w:t>
      </w:r>
    </w:p>
    <w:p>
      <w:pPr>
        <w:pStyle w:val="4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baseline"/>
        <w:rPr>
          <w:rFonts w:ascii="方正楷体简体" w:hAnsi="Times New Roman" w:eastAsia="方正楷体简体"/>
          <w:b/>
          <w:bCs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/>
          <w:b/>
          <w:bCs/>
          <w:color w:val="000000"/>
          <w:sz w:val="32"/>
          <w:szCs w:val="32"/>
        </w:rPr>
        <w:t>（三）政府信息管理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仿宋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济宁经济开发区行政审批服务局不断完善政务公开工作机制，成立政务公开工作领导小组，指定专人负责政务公开工作，制定了政府信息发布的审批流程，健全了信息公开的审核制度，对拟公开的政府信息进行严格依法审查。在符合保密要求的前提下，依法公开本机关的政务信息，做好公开内容、公开时机、公开方式的研判，及时更新主动公开的基本目录。年内未发生信息发布失信、影响社会稳定等问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hint="eastAsia" w:ascii="Times New Roman" w:hAnsi="Times New Roman" w:eastAsia="方正黑体简体"/>
          <w:b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hint="eastAsia" w:ascii="Times New Roman" w:hAnsi="Times New Roman" w:eastAsia="方正黑体简体"/>
          <w:b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hint="eastAsia" w:ascii="Times New Roman" w:hAnsi="Times New Roman" w:eastAsia="方正黑体简体"/>
          <w:b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Times New Roman" w:hAnsi="Times New Roman" w:eastAsia="方正黑体简体"/>
          <w:b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黑体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黑体简体"/>
          <w:b/>
          <w:kern w:val="2"/>
          <w:sz w:val="32"/>
          <w:szCs w:val="32"/>
        </w:rPr>
        <w:t>二、主动公开政府信息情况</w:t>
      </w:r>
    </w:p>
    <w:tbl>
      <w:tblPr>
        <w:tblStyle w:val="5"/>
        <w:tblW w:w="88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hAnsi="黑体" w:eastAsia="方正黑体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本年制发件数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黑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  <w:t>2977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黑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黑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rPr>
          <w:rFonts w:hint="eastAsia" w:ascii="方正黑体简体" w:eastAsia="方正黑体简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jc w:val="left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黑体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黑体简体"/>
          <w:b/>
          <w:kern w:val="2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仿宋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年，我局在政务公开工作中取得了一定成绩，但还存在着个别政府信息公开发布不及时、深度不够等问题。2021年我局将深入学习《条例》精神，与主管部门加强沟通，向其他部门、单位学习，进一步拓展信息公开渠道、创新信息公开方式方法，不断加大政府信息公开工作力度，提高信息公开工作效率和工作质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rPr>
          <w:rFonts w:ascii="Times New Roman" w:hAnsi="Times New Roman" w:eastAsia="方正黑体简体"/>
          <w:b/>
          <w:kern w:val="2"/>
          <w:sz w:val="32"/>
          <w:szCs w:val="32"/>
        </w:rPr>
      </w:pPr>
      <w:r>
        <w:rPr>
          <w:rFonts w:hint="eastAsia" w:ascii="Times New Roman" w:hAnsi="Times New Roman" w:eastAsia="方正黑体简体"/>
          <w:b/>
          <w:kern w:val="2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</w:pPr>
      <w:r>
        <w:rPr>
          <w:rFonts w:hint="eastAsia" w:ascii="Times New Roman" w:hAnsi="Times New Roman" w:eastAsia="方正仿宋简体"/>
          <w:b/>
          <w:kern w:val="2"/>
          <w:sz w:val="32"/>
          <w:szCs w:val="32"/>
        </w:rPr>
        <w:t>无其他需要报告的事项。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A3"/>
    <w:rsid w:val="00503138"/>
    <w:rsid w:val="005168A3"/>
    <w:rsid w:val="00783ACA"/>
    <w:rsid w:val="00D5313B"/>
    <w:rsid w:val="02D432A2"/>
    <w:rsid w:val="0456162B"/>
    <w:rsid w:val="08F32F05"/>
    <w:rsid w:val="0B627C72"/>
    <w:rsid w:val="10F86433"/>
    <w:rsid w:val="155345AE"/>
    <w:rsid w:val="1A7C7DBE"/>
    <w:rsid w:val="1D570811"/>
    <w:rsid w:val="26347509"/>
    <w:rsid w:val="28063D2D"/>
    <w:rsid w:val="28932740"/>
    <w:rsid w:val="2B1B509E"/>
    <w:rsid w:val="38F93D85"/>
    <w:rsid w:val="3D2D595A"/>
    <w:rsid w:val="3F456A01"/>
    <w:rsid w:val="415112CA"/>
    <w:rsid w:val="43FB34E3"/>
    <w:rsid w:val="448A35CB"/>
    <w:rsid w:val="459C6E90"/>
    <w:rsid w:val="4B6670B4"/>
    <w:rsid w:val="50CC03E0"/>
    <w:rsid w:val="5EAF522C"/>
    <w:rsid w:val="627A3FF6"/>
    <w:rsid w:val="63352562"/>
    <w:rsid w:val="63D61CC5"/>
    <w:rsid w:val="676D0C04"/>
    <w:rsid w:val="68377DDD"/>
    <w:rsid w:val="6DA41436"/>
    <w:rsid w:val="7070185A"/>
    <w:rsid w:val="7B794B86"/>
    <w:rsid w:val="7C694167"/>
    <w:rsid w:val="7FD77C55"/>
    <w:rsid w:val="7FDB10D4"/>
    <w:rsid w:val="991E7A0B"/>
    <w:rsid w:val="A9CC87F5"/>
    <w:rsid w:val="F6354801"/>
    <w:rsid w:val="F7DFA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448</Words>
  <Characters>2557</Characters>
  <Lines>21</Lines>
  <Paragraphs>5</Paragraphs>
  <TotalTime>65</TotalTime>
  <ScaleCrop>false</ScaleCrop>
  <LinksUpToDate>false</LinksUpToDate>
  <CharactersWithSpaces>3000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user</cp:lastModifiedBy>
  <dcterms:modified xsi:type="dcterms:W3CDTF">2022-01-29T17:05:23Z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432036504_embed</vt:lpwstr>
  </property>
  <property fmtid="{D5CDD505-2E9C-101B-9397-08002B2CF9AE}" pid="4" name="ICV">
    <vt:lpwstr>D03753FD133B440D9706402531C0E3B4</vt:lpwstr>
  </property>
</Properties>
</file>