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01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济宁市教育局经开区分局</w:t>
      </w:r>
    </w:p>
    <w:p w14:paraId="6B87E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2025</w:t>
      </w: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  <w:t>年政府信息公开工作年度报告</w:t>
      </w:r>
    </w:p>
    <w:p w14:paraId="4A744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</w:pPr>
    </w:p>
    <w:p w14:paraId="21827D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both"/>
        <w:rPr>
          <w:rStyle w:val="5"/>
          <w:rFonts w:hint="default" w:ascii="Times New Roman" w:hAnsi="Times New Roman" w:eastAsia="方正仿宋简体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default" w:ascii="Times New Roman" w:hAnsi="Times New Roman" w:eastAsia="方正仿宋简体" w:cs="Times New Roman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本报告由</w:t>
      </w:r>
      <w:r>
        <w:rPr>
          <w:rStyle w:val="5"/>
          <w:rFonts w:hint="default" w:ascii="Times New Roman" w:hAnsi="Times New Roman" w:eastAsia="方正仿宋简体" w:cs="Times New Roman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济宁市教育局经开区分局</w:t>
      </w:r>
      <w:r>
        <w:rPr>
          <w:rStyle w:val="5"/>
          <w:rFonts w:hint="default" w:ascii="Times New Roman" w:hAnsi="Times New Roman" w:eastAsia="方正仿宋简体" w:cs="Times New Roman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100CD2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both"/>
        <w:rPr>
          <w:rFonts w:hint="default" w:ascii="Times New Roman" w:hAnsi="Times New Roman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default" w:ascii="Times New Roman" w:hAnsi="Times New Roman" w:eastAsia="方正仿宋简体" w:cs="Times New Roman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6E87BD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Style w:val="5"/>
          <w:rFonts w:hint="default" w:ascii="Times New Roman" w:hAnsi="Times New Roman" w:eastAsia="方正仿宋简体" w:cs="Times New Roman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</w:pPr>
      <w:r>
        <w:rPr>
          <w:rStyle w:val="5"/>
          <w:rFonts w:hint="default" w:ascii="Times New Roman" w:hAnsi="Times New Roman" w:eastAsia="方正仿宋简体" w:cs="Times New Roman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本报告所列数据的统计期限自202</w:t>
      </w:r>
      <w:r>
        <w:rPr>
          <w:rStyle w:val="5"/>
          <w:rFonts w:hint="default" w:ascii="Times New Roman" w:hAnsi="Times New Roman" w:eastAsia="方正仿宋简体" w:cs="Times New Roman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5</w:t>
      </w:r>
      <w:r>
        <w:rPr>
          <w:rStyle w:val="5"/>
          <w:rFonts w:hint="default" w:ascii="Times New Roman" w:hAnsi="Times New Roman" w:eastAsia="方正仿宋简体" w:cs="Times New Roman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年1月1日起至202</w:t>
      </w:r>
      <w:r>
        <w:rPr>
          <w:rStyle w:val="5"/>
          <w:rFonts w:hint="default" w:ascii="Times New Roman" w:hAnsi="Times New Roman" w:eastAsia="方正仿宋简体" w:cs="Times New Roman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5</w:t>
      </w:r>
      <w:r>
        <w:rPr>
          <w:rStyle w:val="5"/>
          <w:rFonts w:hint="default" w:ascii="Times New Roman" w:hAnsi="Times New Roman" w:eastAsia="方正仿宋简体" w:cs="Times New Roman"/>
          <w:b w:val="0"/>
          <w:bCs/>
          <w:i w:val="0"/>
          <w:iCs w:val="0"/>
          <w:caps w:val="0"/>
          <w:color w:val="auto"/>
          <w:spacing w:val="0"/>
          <w:kern w:val="2"/>
          <w:sz w:val="32"/>
          <w:szCs w:val="32"/>
          <w:lang w:bidi="ar-SA"/>
        </w:rPr>
        <w:t>年12月31日止。本报告电子版可在济宁经济开发区管委会门户网站（jkq.jining.gov.cn）查阅或下载。如对本报告有疑问，请与济宁市教育局经开区分局联系（地址：济宁经济开发区高级中学行政楼五楼，联系电话：0537-3735286）。</w:t>
      </w:r>
    </w:p>
    <w:p w14:paraId="597E22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00000"/>
          <w:sz w:val="32"/>
          <w:szCs w:val="32"/>
        </w:rPr>
        <w:t>一、总体情况</w:t>
      </w:r>
    </w:p>
    <w:p w14:paraId="2F3F5A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2025年，济宁市教育局</w:t>
      </w: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经开区</w:t>
      </w:r>
      <w:r>
        <w:rPr>
          <w:rFonts w:hint="default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分局坚持以习近平新时代中国特色社会主义思想为指导，深入贯彻落实国家、省、市</w:t>
      </w: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、区</w:t>
      </w:r>
      <w:r>
        <w:rPr>
          <w:rFonts w:hint="default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关于政务公开工作的决策部署，紧密围绕教育工作和社会公众关切，以提升公开质量、强化政策解读、规范依申请公开为重点，不断深化政府信息公开工作，切实保障人民群众的知情权、参与权、表达权和监督权，为促进教育高质量发展营造了良好的信息环境。</w:t>
      </w:r>
    </w:p>
    <w:p w14:paraId="221FED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val="en-US" w:eastAsia="zh-CN"/>
        </w:rPr>
        <w:t>（一）主动公开情况</w:t>
      </w:r>
    </w:p>
    <w:p w14:paraId="75B410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坚持以服务公众为导向，不断拓展和细化主动公开内容。全年通过管委会门户网站分局栏目、政务新媒体等平台，累计主动发布各类政府信息45条。重点围绕招生入学、教育政策、经费使用、学校概况等社会高度关注领域，做到应公开尽公开。</w:t>
      </w:r>
    </w:p>
    <w:p w14:paraId="79CC53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val="en-US" w:eastAsia="zh-CN"/>
        </w:rPr>
        <w:t>（二）依申请公开情况</w:t>
      </w:r>
    </w:p>
    <w:p w14:paraId="777E10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2025年度未收到依申请公开办理事项。</w:t>
      </w:r>
    </w:p>
    <w:p w14:paraId="11D327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方正楷体简体" w:hAnsi="方正楷体简体" w:eastAsia="方正楷体简体" w:cs="方正楷体简体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val="en-US" w:eastAsia="zh-CN"/>
        </w:rPr>
        <w:t>（三）</w:t>
      </w:r>
      <w:r>
        <w:rPr>
          <w:rStyle w:val="5"/>
          <w:rFonts w:hint="eastAsia" w:ascii="方正楷体简体" w:hAnsi="方正楷体简体" w:eastAsia="方正楷体简体" w:cs="方正楷体简体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政府信息管理情况</w:t>
      </w:r>
    </w:p>
    <w:p w14:paraId="43B5FE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修订完善信息公开审查流程，强化信息发布前的保密审查与合法性审核。建立重要政策文件公开台账，实施动态更新管理。定期对已公开信息进行核查，确保内容准确、链接有效。着手梳理义务教育招生、民办教育等领域信息，为下一步信息分类整合与便捷查询打下基础。</w:t>
      </w:r>
    </w:p>
    <w:p w14:paraId="2F04F42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textAlignment w:val="auto"/>
        <w:rPr>
          <w:rStyle w:val="5"/>
          <w:rFonts w:hint="eastAsia" w:ascii="方正楷体简体" w:hAnsi="方正楷体简体" w:eastAsia="方正楷体简体" w:cs="方正楷体简体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val="en-US" w:eastAsia="zh-CN"/>
        </w:rPr>
        <w:t>（四）</w:t>
      </w:r>
      <w:r>
        <w:rPr>
          <w:rStyle w:val="5"/>
          <w:rFonts w:hint="eastAsia" w:ascii="方正楷体简体" w:hAnsi="方正楷体简体" w:eastAsia="方正楷体简体" w:cs="方正楷体简体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政府信息公开平台建设情况</w:t>
      </w:r>
    </w:p>
    <w:p w14:paraId="7B437F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继续将管委会门户网站作为政务公开的核心平台进行管理与维护，严格遵循网站建设相关标准与规范。重点对本部门负责的“义务教育”“民办教育监管”等栏目进行了内容梳理与优化，确保信息发布及时、分类清晰、便于查找。同时，积极利用区管委会统一的政务新媒体平台，同步推送重要教育政策、工作动态及便民服务信息，扩大信息的传播面和影响力。</w:t>
      </w:r>
    </w:p>
    <w:p w14:paraId="77DCF8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textAlignment w:val="auto"/>
        <w:rPr>
          <w:rStyle w:val="5"/>
          <w:rFonts w:hint="eastAsia" w:ascii="方正楷体简体" w:hAnsi="方正楷体简体" w:eastAsia="方正楷体简体" w:cs="方正楷体简体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/>
          <w:color w:val="000000"/>
          <w:sz w:val="32"/>
          <w:szCs w:val="32"/>
          <w:lang w:val="en-US" w:eastAsia="zh-CN"/>
        </w:rPr>
        <w:t>（五）</w:t>
      </w:r>
      <w:r>
        <w:rPr>
          <w:rStyle w:val="5"/>
          <w:rFonts w:hint="eastAsia" w:ascii="方正楷体简体" w:hAnsi="方正楷体简体" w:eastAsia="方正楷体简体" w:cs="方正楷体简体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监督保障情况</w:t>
      </w:r>
    </w:p>
    <w:p w14:paraId="020014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为保障政府信息公开工作规范有序运行，我局持续完善相关工作机制。将政务公开工作纳入内部考核体系，进一步明确责任分工，由办公室统筹协调，各业务科室协同落实。积极参加区级政务公开业务培训，提升了工作人员的业务能力和公开意识。主动接受区党政办公室的日常监测与指导，对反馈问题及时整改。</w:t>
      </w:r>
    </w:p>
    <w:p w14:paraId="7F0AA2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 w:val="0"/>
          <w:bCs/>
          <w:color w:val="000000"/>
          <w:sz w:val="32"/>
          <w:szCs w:val="32"/>
        </w:rPr>
        <w:t>二、主动公开政府信息情况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4A09D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2C4B78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242E9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A0D9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1CB5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8E04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8248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 w14:paraId="53F39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E2E3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5089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C992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322C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F64C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B74D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B43E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B140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A10B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A988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6A8003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46C75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0A7E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DD993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507E9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F082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770795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16A5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1E3EA9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21EFD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B7B8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1D4DB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77E38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25C2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FDF51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A698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9A3F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D2F61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F4B9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5A5B7C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6E70F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523A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6DA21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5DEDF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8D52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CD56665">
            <w:pP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685C37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" w:beforeLines="10" w:after="62" w:afterLines="10" w:line="560" w:lineRule="exact"/>
        <w:ind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 w:val="0"/>
          <w:bCs/>
          <w:sz w:val="32"/>
          <w:szCs w:val="32"/>
        </w:rPr>
        <w:t>三、收到和处理政府信息公开申请情况</w:t>
      </w: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270BF9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A998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ascii="楷体" w:hAnsi="楷体" w:eastAsia="楷体" w:cs="楷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B232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7B97D4C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AD4712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10BE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346F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8083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79EF24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34F9CA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AEF30C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2A76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28580A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9652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13678C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FF1D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F11C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6CCA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130896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35854D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018F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325A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B6F2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6562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36B5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E149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8DFB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F3C1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BDD07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C7E3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2B14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F489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583E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1B26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348C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9103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EA578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1FFBC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767B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FE67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3738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42C2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9A84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D01C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8D12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80AD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B6304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9F667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E2995A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1B9D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C4EA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A290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0C6F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EAA1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81AD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E33C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D2A0C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34C39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623DB4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3050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6B6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F2F9F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31C0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DEC28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8CC21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F82D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401B7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8E66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FC55F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803409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DD50A4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9DA6A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26C2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2BFE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A01E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50A1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5792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458C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72E3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89813C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06A8E2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F3888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AE940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148F9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9273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49B9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981B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2310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E383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8C2B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CA64A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BA8EDB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73C367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4FD2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2BCB1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8E68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D2CD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B5B3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D3B01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BECD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A849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66486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7A65AF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A371D2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B1E82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DC0B7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25DCD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E3F6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38043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CB98F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04F1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9A2DE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2EBF0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B4FE78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B8B17A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826FD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25BB7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F9ED0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D4904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8C728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AFA86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7ACDE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0E6F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1E211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C8392C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5A922B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B8C13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6DC5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6241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8ED76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B9F1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AB83D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6116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196C6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B9C38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DC816A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F2C6EE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2A669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174D2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6CC7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6280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F7B7F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76B4D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BC81F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317E4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F603E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851976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2A52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053E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2522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86E39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C0936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D0DF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AD2C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02BE2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3FB34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763ED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26B2E7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A1510F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46BD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01C55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603EE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9C6E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DEDF2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95869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CFB1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7B47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9FFD2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A32165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F88532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EC89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E7AC5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9DCD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0BF9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C2BF4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C886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BED5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6833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9CE821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384F25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71F6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7E931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E445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EC44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ACF9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642A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4DB6F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3CE76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6805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58F2A4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DDD4F3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C917F5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F3D4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222D9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8870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A74F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136D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6C73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7AB0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E813D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F79915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E9F9D9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CB4E47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8968F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6A37B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C4E95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3427D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454D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73AE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CEA75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9DA10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D39617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5957E2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6E9DAE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E3AA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821E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225B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9CFA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847D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86365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1EFEC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3F47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EA8A5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EB43F4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92CC0A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7279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1B8D6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6BAD8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730A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FFAD1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6C298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F3C4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2C6B6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0062C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A8C70D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40AA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B914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48E9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EF4A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0FF4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7107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CF97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2425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2EE25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F0134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1D67FD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AD78DB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CA85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ECBA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744C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1AFB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D9BA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2353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D6D9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A14D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99F78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4295A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9505E5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B882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0A2C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2EB9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F8F2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9FAF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6A79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A3CF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E5D8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1BA22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CF9DBF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06D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B5F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591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AD80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AB6C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87CE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1AB4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1CD3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93073B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9607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8FF3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B051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4034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5091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E850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F5E7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 w:val="0"/>
                <w:bCs/>
                <w:color w:val="auto"/>
              </w:rPr>
            </w:pPr>
            <w:r>
              <w:rPr>
                <w:rFonts w:hint="eastAsia" w:cs="Calibri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4851DA8">
            <w:pPr>
              <w:rPr>
                <w:rFonts w:hint="eastAsia" w:ascii="宋体"/>
                <w:b w:val="0"/>
                <w:bCs/>
                <w:color w:val="auto"/>
                <w:sz w:val="24"/>
                <w:szCs w:val="24"/>
              </w:rPr>
            </w:pPr>
          </w:p>
        </w:tc>
      </w:tr>
    </w:tbl>
    <w:p w14:paraId="2C9AEA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" w:beforeLines="10" w:after="62" w:afterLines="10" w:line="560" w:lineRule="exact"/>
        <w:ind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/>
          <w:sz w:val="32"/>
          <w:szCs w:val="32"/>
        </w:rPr>
      </w:pPr>
    </w:p>
    <w:p w14:paraId="7A094E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 w:val="0"/>
          <w:bCs/>
          <w:sz w:val="32"/>
          <w:szCs w:val="32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615"/>
        <w:gridCol w:w="615"/>
        <w:gridCol w:w="615"/>
        <w:gridCol w:w="615"/>
        <w:gridCol w:w="598"/>
        <w:gridCol w:w="598"/>
        <w:gridCol w:w="599"/>
        <w:gridCol w:w="600"/>
        <w:gridCol w:w="600"/>
        <w:gridCol w:w="600"/>
        <w:gridCol w:w="600"/>
        <w:gridCol w:w="600"/>
        <w:gridCol w:w="601"/>
        <w:gridCol w:w="601"/>
      </w:tblGrid>
      <w:tr w14:paraId="6633FA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16C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DDFF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79D179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1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0007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BC93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1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C31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1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43D0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1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8518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299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277C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00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3F3B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15DD3D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1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8DF544">
            <w:pP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6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1123B4">
            <w:pP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83BF10">
            <w:pP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969CB2">
            <w:pP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73774E">
            <w:pPr>
              <w:rPr>
                <w:rFonts w:hint="default" w:ascii="Times New Roman" w:hAnsi="Times New Roman" w:eastAsia="黑体" w:cs="Times New Roman"/>
                <w:b w:val="0"/>
                <w:bCs/>
                <w:sz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87F5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7D41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5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0642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AC3B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5E55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E6CF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2261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779E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AD49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ED8F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0D4ADC1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F7C5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110E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2438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5C45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E707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F9FA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0A40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210E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06A3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1DD2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8C23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3CE2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FA13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2243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69C2E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lang w:val="en-US" w:eastAsia="zh-CN"/>
              </w:rPr>
              <w:t>0</w:t>
            </w:r>
          </w:p>
        </w:tc>
      </w:tr>
    </w:tbl>
    <w:p w14:paraId="784DF4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 w:val="0"/>
          <w:bCs/>
          <w:sz w:val="32"/>
          <w:szCs w:val="32"/>
        </w:rPr>
        <w:t>五、存在的主要问题及改进情况</w:t>
      </w:r>
    </w:p>
    <w:p w14:paraId="2148D5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5年教育分局</w:t>
      </w: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eastAsia="zh-CN"/>
        </w:rPr>
        <w:t>政务公开取得了一定成效，但仍存在一些问题，具体表现在：</w:t>
      </w: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eastAsia="zh-CN"/>
        </w:rPr>
        <w:t>政策解读的覆盖面有待丰富。当前解读多集中于个别热点文件，对一系列关联性强的政策进行组合式、专题式解读不够。</w:t>
      </w: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eastAsia="zh-CN"/>
        </w:rPr>
        <w:t>内部公开协作机制需强化。各业务科室在信息生成、报送、审核环节的衔接有时不够顺畅，影响部分信息的公开时效。</w:t>
      </w:r>
    </w:p>
    <w:p w14:paraId="3BE047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改进情况：一是</w:t>
      </w: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eastAsia="zh-CN"/>
        </w:rPr>
        <w:t>进一步优化政策解读机制。探索建立解读联动机制，加强对关联政策的整合梳理，计划开展系列专题解读，提升解读的系统性和实用性；</w:t>
      </w: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方正仿宋简体" w:cs="Times New Roman"/>
          <w:b w:val="0"/>
          <w:bCs/>
          <w:color w:val="000000"/>
          <w:sz w:val="32"/>
          <w:szCs w:val="32"/>
          <w:lang w:eastAsia="zh-CN"/>
        </w:rPr>
        <w:t>持续完善内部信息协同流程。优化信息流转机制，强化科室联动与责任落实，确保信息及时、准确、完整公开。</w:t>
      </w:r>
    </w:p>
    <w:p w14:paraId="437B0D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方正黑体简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 w:val="0"/>
          <w:bCs/>
          <w:sz w:val="32"/>
          <w:szCs w:val="32"/>
        </w:rPr>
        <w:t>六、其他需要报告的事项</w:t>
      </w:r>
    </w:p>
    <w:p w14:paraId="5019A7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ascii="仿宋_GB2312" w:eastAsia="仿宋_GB2312"/>
          <w:b w:val="0"/>
          <w:bCs/>
          <w:color w:val="auto"/>
          <w:sz w:val="32"/>
          <w:szCs w:val="32"/>
        </w:rPr>
        <w:t>依据《政府信息公开信息处理费管理办法》收取信息处理费的情况;</w:t>
      </w:r>
    </w:p>
    <w:p w14:paraId="46918C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  <w:lang w:val="en-US" w:eastAsia="zh-CN"/>
        </w:rPr>
        <w:t>无。</w:t>
      </w:r>
    </w:p>
    <w:p w14:paraId="6D6E1F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ascii="仿宋_GB2312" w:eastAsia="仿宋_GB2312"/>
          <w:b w:val="0"/>
          <w:bCs/>
          <w:color w:val="auto"/>
          <w:sz w:val="32"/>
          <w:szCs w:val="32"/>
        </w:rPr>
        <w:t>本行政机关落实上级年度政务公开工作要点情况；</w:t>
      </w:r>
    </w:p>
    <w:p w14:paraId="111DB1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  <w:lang w:val="en-US" w:eastAsia="zh-CN"/>
        </w:rPr>
        <w:t>严格落实政务公开工作要点，结合教育工作实际，重点加大对教育公平、质量提升、安全保障等领域的信息公开力度，按期完成了各项任务要求。</w:t>
      </w:r>
    </w:p>
    <w:p w14:paraId="27AC31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  <w:lang w:eastAsia="zh-CN"/>
        </w:rPr>
        <w:t>（三）</w:t>
      </w:r>
      <w:r>
        <w:rPr>
          <w:rFonts w:ascii="仿宋_GB2312" w:eastAsia="仿宋_GB2312"/>
          <w:b w:val="0"/>
          <w:bCs/>
          <w:color w:val="auto"/>
          <w:sz w:val="32"/>
          <w:szCs w:val="32"/>
        </w:rPr>
        <w:t>本行政机关人大代表建议和政协提案办理结果公开情况；</w:t>
      </w:r>
    </w:p>
    <w:p w14:paraId="06DE06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  <w:lang w:val="en-US" w:eastAsia="zh-CN"/>
        </w:rPr>
        <w:t>无。</w:t>
      </w:r>
    </w:p>
    <w:p w14:paraId="66C186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  <w:lang w:eastAsia="zh-CN"/>
        </w:rPr>
        <w:t>（四）</w:t>
      </w:r>
      <w:r>
        <w:rPr>
          <w:rFonts w:ascii="仿宋_GB2312" w:eastAsia="仿宋_GB2312"/>
          <w:b w:val="0"/>
          <w:bCs/>
          <w:color w:val="auto"/>
          <w:sz w:val="32"/>
          <w:szCs w:val="32"/>
        </w:rPr>
        <w:t>本行政机关年度政务公开工作创新情况</w:t>
      </w:r>
      <w:r>
        <w:rPr>
          <w:rFonts w:hint="eastAsia" w:ascii="仿宋_GB2312" w:eastAsia="仿宋_GB2312"/>
          <w:b w:val="0"/>
          <w:bCs/>
          <w:color w:val="auto"/>
          <w:sz w:val="32"/>
          <w:szCs w:val="32"/>
          <w:lang w:eastAsia="zh-CN"/>
        </w:rPr>
        <w:t>。</w:t>
      </w:r>
    </w:p>
    <w:p w14:paraId="00A097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  <w:lang w:val="en-US" w:eastAsia="zh-CN"/>
        </w:rPr>
        <w:t>无。</w:t>
      </w:r>
    </w:p>
    <w:p w14:paraId="4D913B67">
      <w:pPr>
        <w:rPr>
          <w:rFonts w:hint="default" w:ascii="Times New Roman" w:hAnsi="Times New Roman" w:cs="Times New Roman"/>
        </w:rPr>
      </w:pPr>
    </w:p>
    <w:p w14:paraId="4901A6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仿宋_GB2312" w:eastAsia="仿宋_GB2312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02271"/>
    <w:rsid w:val="15EE5726"/>
    <w:rsid w:val="17A0430C"/>
    <w:rsid w:val="19C87EFC"/>
    <w:rsid w:val="1D85546D"/>
    <w:rsid w:val="2DB36F61"/>
    <w:rsid w:val="396B1563"/>
    <w:rsid w:val="42091919"/>
    <w:rsid w:val="42C85330"/>
    <w:rsid w:val="4891206A"/>
    <w:rsid w:val="5E547F68"/>
    <w:rsid w:val="6DBE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2442</Words>
  <Characters>2517</Characters>
  <Lines>0</Lines>
  <Paragraphs>0</Paragraphs>
  <TotalTime>25</TotalTime>
  <ScaleCrop>false</ScaleCrop>
  <LinksUpToDate>false</LinksUpToDate>
  <CharactersWithSpaces>2517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2026-01-13T07:51:00Z</dcterms:created>
  <dc:creator>DELL</dc:creator>
  <cp:lastModifiedBy>潘博</cp:lastModifiedBy>
  <dcterms:modified xsi:type="dcterms:W3CDTF">2026-01-16T07:35:16Z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eyJoZGlkIjoiNDIyZjZjMmQ2Zjg2YmU1MWJmMjBlMjYzYmQzM2I5MGYiLCJ1c2VySWQiOiIyNTMwOTk4MzUifQ==</vt:lpwstr>
  </property>
  <property fmtid="{D5CDD505-2E9C-101B-9397-08002B2CF9AE}" pid="4" name="ICV">
    <vt:lpwstr>FC841BF426A24046BB29CC80FD53BD5C_13</vt:lpwstr>
  </property>
</Properties>
</file>