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济宁市商贸物流园区管理服务中心</w:t>
      </w:r>
    </w:p>
    <w:p>
      <w:pPr>
        <w:spacing w:line="590" w:lineRule="exact"/>
        <w:ind w:right="-105" w:rightChars="-50"/>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商务服务部2023年政府信息公开</w:t>
      </w:r>
    </w:p>
    <w:p>
      <w:pPr>
        <w:spacing w:line="590" w:lineRule="exact"/>
        <w:ind w:right="-105" w:rightChars="-50"/>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工作年度报告</w:t>
      </w:r>
    </w:p>
    <w:p>
      <w:pPr>
        <w:spacing w:line="590" w:lineRule="exact"/>
        <w:ind w:right="-105" w:rightChars="-50"/>
        <w:rPr>
          <w:rFonts w:ascii="方正小标宋简体" w:hAnsi="方正小标宋简体" w:eastAsia="方正小标宋简体" w:cs="方正小标宋简体"/>
          <w:b/>
          <w:color w:val="auto"/>
          <w:sz w:val="44"/>
          <w:szCs w:val="44"/>
        </w:rPr>
      </w:pPr>
    </w:p>
    <w:p>
      <w:pPr>
        <w:spacing w:line="590" w:lineRule="exact"/>
        <w:ind w:right="-105" w:rightChars="-50" w:firstLine="642" w:firstLineChars="200"/>
        <w:rPr>
          <w:rFonts w:ascii="方正仿宋简体" w:hAnsi="方正仿宋简体" w:eastAsia="方正仿宋简体" w:cs="方正仿宋简体"/>
          <w:b/>
          <w:color w:val="auto"/>
          <w:sz w:val="32"/>
          <w:szCs w:val="32"/>
        </w:rPr>
      </w:pPr>
    </w:p>
    <w:p>
      <w:pPr>
        <w:spacing w:line="590" w:lineRule="exact"/>
        <w:ind w:right="-105" w:rightChars="-50" w:firstLine="642" w:firstLineChars="200"/>
        <w:rPr>
          <w:rFonts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本报告由济宁市商贸物流园区管理服务中心商务服务部按照《中华人民共和国政府信息公开条例》（以下简称《条例》）和《中华人民共和国政府信息公开工作年度报告格式》（国办公开办函〔2021〕30号）要求编制。</w:t>
      </w:r>
    </w:p>
    <w:p>
      <w:pPr>
        <w:spacing w:line="590" w:lineRule="exact"/>
        <w:ind w:right="-105" w:rightChars="-50" w:firstLine="642" w:firstLineChars="200"/>
        <w:rPr>
          <w:rFonts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2" w:firstLineChars="200"/>
        <w:rPr>
          <w:rFonts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本报告所列数据的统计期限自2023年1月1日起至2023年12月31日止。</w:t>
      </w:r>
      <w:r>
        <w:rPr>
          <w:rFonts w:hint="eastAsia" w:ascii="仿宋_GB2312" w:eastAsia="仿宋_GB2312"/>
          <w:color w:val="auto"/>
          <w:sz w:val="32"/>
          <w:szCs w:val="32"/>
        </w:rPr>
        <w:t>本报告电子版可在“济宁经济开发区”管委会门户网站（http://jkq.jining.gov.cn/）查阅或下载。</w:t>
      </w:r>
      <w:r>
        <w:rPr>
          <w:rFonts w:hint="eastAsia" w:ascii="方正仿宋简体" w:hAnsi="方正仿宋简体" w:eastAsia="方正仿宋简体" w:cs="方正仿宋简体"/>
          <w:b/>
          <w:color w:val="auto"/>
          <w:sz w:val="32"/>
          <w:szCs w:val="32"/>
        </w:rPr>
        <w:t>如对本报告有疑问，请与济宁市商贸物流园区管理服务中心商务服务部联系（地址：济宁经济开发区节能环保产业园区A3楼，联系电话：0537-6983889）。</w:t>
      </w:r>
    </w:p>
    <w:p>
      <w:pPr>
        <w:spacing w:line="590" w:lineRule="exact"/>
        <w:ind w:right="-105" w:rightChars="-50" w:firstLine="642" w:firstLineChars="200"/>
        <w:rPr>
          <w:rFonts w:ascii="方正黑体简体" w:hAnsi="方正黑体简体" w:eastAsia="方正黑体简体" w:cs="方正黑体简体"/>
          <w:b/>
          <w:color w:val="auto"/>
          <w:sz w:val="32"/>
          <w:szCs w:val="32"/>
        </w:rPr>
      </w:pPr>
      <w:r>
        <w:rPr>
          <w:rFonts w:hint="eastAsia" w:ascii="方正黑体简体" w:hAnsi="方正黑体简体" w:eastAsia="方正黑体简体" w:cs="方正黑体简体"/>
          <w:b/>
          <w:color w:val="auto"/>
          <w:sz w:val="32"/>
          <w:szCs w:val="32"/>
        </w:rPr>
        <w:t>一、总体情况</w:t>
      </w:r>
    </w:p>
    <w:p>
      <w:pPr>
        <w:spacing w:line="590" w:lineRule="exact"/>
        <w:ind w:right="-105" w:rightChars="-50" w:firstLine="642" w:firstLineChars="200"/>
        <w:rPr>
          <w:rFonts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2023年，济宁市商贸物流园区管理服务中心商务服务部坚持以习近平新时代中国特色社会主义思想为指导，深入贯彻落实国家、省、市关于政务公开工作的系列部署和《条例》要求，重点围绕助力经济平稳健康发展和保持社会和谐稳定、提高政策公开质量、夯实公开工作基础等方面深化政务公开，更好发挥以公开促落实、强监管功能，加大公开力度、深化公开内容、拓展公开渠道、提升公开实效，为经开区全面发展作出积极贡献。</w:t>
      </w:r>
    </w:p>
    <w:p>
      <w:pPr>
        <w:spacing w:line="590" w:lineRule="exact"/>
        <w:ind w:right="-105" w:rightChars="-50" w:firstLine="642" w:firstLineChars="200"/>
        <w:rPr>
          <w:rFonts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z w:val="32"/>
          <w:szCs w:val="32"/>
        </w:rPr>
        <w:t>（一）主动公开情况</w:t>
      </w:r>
    </w:p>
    <w:p>
      <w:pPr>
        <w:spacing w:line="590" w:lineRule="exact"/>
        <w:ind w:right="-105" w:rightChars="-50" w:firstLine="642" w:firstLineChars="200"/>
        <w:rPr>
          <w:rFonts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充分利用网站、微信公众号等多种媒介及时准确宣传部门工作动态、亮点和经验做法。2023年，商务服务部通过网站及时发布更新部门机构职能信息，包括领导信息、基本信息、主要职责。同时，及时公开经开区契税消费券核销商家名单，满足人民群众消费需求，促进全区消费水平升级。</w:t>
      </w:r>
    </w:p>
    <w:p>
      <w:pPr>
        <w:spacing w:line="590" w:lineRule="exact"/>
        <w:ind w:right="-105" w:rightChars="-50" w:firstLine="642" w:firstLineChars="200"/>
        <w:rPr>
          <w:rFonts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z w:val="32"/>
          <w:szCs w:val="32"/>
        </w:rPr>
        <w:t>（二）依申请公开情况</w:t>
      </w:r>
    </w:p>
    <w:p>
      <w:pPr>
        <w:spacing w:line="590" w:lineRule="exact"/>
        <w:ind w:right="-105" w:rightChars="-50" w:firstLine="642" w:firstLineChars="200"/>
        <w:rPr>
          <w:rFonts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2023年</w:t>
      </w:r>
      <w:r>
        <w:rPr>
          <w:rFonts w:hint="eastAsia" w:ascii="仿宋_GB2312" w:hAnsi="仿宋_GB2312" w:eastAsia="仿宋_GB2312" w:cs="仿宋_GB2312"/>
          <w:color w:val="auto"/>
          <w:sz w:val="32"/>
          <w:szCs w:val="32"/>
        </w:rPr>
        <w:t>未收到信息公开申请。</w:t>
      </w:r>
    </w:p>
    <w:p>
      <w:pPr>
        <w:spacing w:line="590" w:lineRule="exact"/>
        <w:ind w:right="-105" w:rightChars="-50" w:firstLine="642" w:firstLineChars="200"/>
        <w:rPr>
          <w:rFonts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z w:val="32"/>
          <w:szCs w:val="32"/>
        </w:rPr>
        <w:t>（三）政府信息管理情况</w:t>
      </w:r>
    </w:p>
    <w:p>
      <w:pPr>
        <w:spacing w:line="590" w:lineRule="exact"/>
        <w:ind w:right="-105" w:rightChars="-50" w:firstLine="610" w:firstLineChars="200"/>
        <w:rPr>
          <w:rFonts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pacing w:val="-8"/>
          <w:sz w:val="32"/>
          <w:szCs w:val="32"/>
        </w:rPr>
        <w:t>部门高度重视信息管理工作，成立政务公开领导小组，明确政务公开分管领导、负责科室和工作人员，制定实施方案和工作计划，并认真组织实施。严格遵守“先审查、后公开”原则，完善公开审查流程，建立完善逐级审查制度。</w:t>
      </w:r>
    </w:p>
    <w:p>
      <w:pPr>
        <w:spacing w:line="590" w:lineRule="exact"/>
        <w:ind w:right="-105" w:rightChars="-50" w:firstLine="642" w:firstLineChars="200"/>
        <w:rPr>
          <w:rFonts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z w:val="32"/>
          <w:szCs w:val="32"/>
        </w:rPr>
        <w:t>（四）</w:t>
      </w:r>
      <w:r>
        <w:rPr>
          <w:rFonts w:hint="eastAsia" w:ascii="仿宋_GB2312" w:hAnsi="仿宋_GB2312" w:eastAsia="仿宋_GB2312" w:cs="仿宋_GB2312"/>
          <w:color w:val="auto"/>
          <w:sz w:val="32"/>
          <w:szCs w:val="32"/>
        </w:rPr>
        <w:t>政府信息公开平台建设情况</w:t>
      </w:r>
    </w:p>
    <w:p>
      <w:pPr>
        <w:spacing w:line="590" w:lineRule="exact"/>
        <w:ind w:right="-105" w:rightChars="-50" w:firstLine="642" w:firstLineChars="200"/>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2023年，通过济宁经济技术开发区政府网站政府信息公开专栏发布公开信息。依托经开区政府网站政府信息公开专栏，及时发布部门工作动态信息，接受群众的监督。截至目前，我部门没有建设独立的政府信息公开平台。</w:t>
      </w:r>
    </w:p>
    <w:p>
      <w:pPr>
        <w:spacing w:line="590" w:lineRule="exact"/>
        <w:ind w:right="-105" w:rightChars="-50" w:firstLine="642" w:firstLineChars="200"/>
        <w:rPr>
          <w:rFonts w:ascii="方正楷体简体" w:hAnsi="方正楷体简体" w:eastAsia="方正楷体简体" w:cs="方正楷体简体"/>
          <w:b/>
          <w:color w:val="auto"/>
          <w:sz w:val="32"/>
          <w:szCs w:val="32"/>
        </w:rPr>
      </w:pPr>
      <w:r>
        <w:rPr>
          <w:rFonts w:hint="eastAsia" w:ascii="方正楷体简体" w:hAnsi="方正楷体简体" w:eastAsia="方正楷体简体" w:cs="方正楷体简体"/>
          <w:b/>
          <w:color w:val="auto"/>
          <w:sz w:val="32"/>
          <w:szCs w:val="32"/>
        </w:rPr>
        <w:t>（五）监督保障情况</w:t>
      </w:r>
    </w:p>
    <w:p>
      <w:pPr>
        <w:ind w:firstLine="642" w:firstLineChars="200"/>
        <w:rPr>
          <w:color w:val="auto"/>
        </w:rPr>
      </w:pPr>
      <w:r>
        <w:rPr>
          <w:rFonts w:hint="eastAsia" w:ascii="方正仿宋简体" w:hAnsi="方正仿宋简体" w:eastAsia="方正仿宋简体" w:cs="方正仿宋简体"/>
          <w:b/>
          <w:color w:val="auto"/>
          <w:sz w:val="32"/>
          <w:szCs w:val="32"/>
        </w:rPr>
        <w:t>通过部门周例会重点解读</w:t>
      </w:r>
      <w:r>
        <w:rPr>
          <w:rFonts w:hint="eastAsia" w:ascii="方正仿宋简体" w:hAnsi="文星仿宋" w:eastAsia="方正仿宋简体" w:cs="方正仿宋简体"/>
          <w:b/>
          <w:color w:val="auto"/>
          <w:sz w:val="32"/>
          <w:szCs w:val="32"/>
        </w:rPr>
        <w:t>《中华人民共和国政府信息公开条例》、《中华人民共和国政府信息公开工作年度报告格式》、</w:t>
      </w:r>
      <w:r>
        <w:rPr>
          <w:rFonts w:hint="eastAsia" w:ascii="方正仿宋简体" w:hAnsi="方正仿宋简体" w:eastAsia="方正仿宋简体" w:cs="方正仿宋简体"/>
          <w:b/>
          <w:color w:val="auto"/>
          <w:sz w:val="32"/>
          <w:szCs w:val="32"/>
        </w:rPr>
        <w:t>《2023年度政务公开评估指标体系》及有关考核工作要求，确保各项评估指标全部按照规范格式公开到位，做到应公开事项全部公开，确保政务公开工作全部落实到位。</w:t>
      </w:r>
    </w:p>
    <w:p>
      <w:pPr>
        <w:spacing w:line="590" w:lineRule="exact"/>
        <w:ind w:right="-105" w:rightChars="-50" w:firstLine="642" w:firstLineChars="200"/>
        <w:rPr>
          <w:rFonts w:ascii="方正黑体简体" w:hAnsi="方正黑体简体" w:eastAsia="方正黑体简体" w:cs="方正黑体简体"/>
          <w:b/>
          <w:color w:val="auto"/>
          <w:sz w:val="32"/>
          <w:szCs w:val="32"/>
        </w:rPr>
      </w:pPr>
      <w:r>
        <w:rPr>
          <w:rFonts w:hint="eastAsia" w:ascii="方正黑体简体" w:hAnsi="方正黑体简体" w:eastAsia="方正黑体简体" w:cs="方正黑体简体"/>
          <w:b/>
          <w:color w:val="auto"/>
          <w:sz w:val="32"/>
          <w:szCs w:val="32"/>
        </w:rPr>
        <w:t>二、主动公开政府信息情况</w:t>
      </w:r>
    </w:p>
    <w:tbl>
      <w:tblPr>
        <w:tblStyle w:val="7"/>
        <w:tblW w:w="8820" w:type="dxa"/>
        <w:jc w:val="center"/>
        <w:tblLayout w:type="fixed"/>
        <w:tblCellMar>
          <w:top w:w="0" w:type="dxa"/>
          <w:left w:w="108" w:type="dxa"/>
          <w:bottom w:w="0" w:type="dxa"/>
          <w:right w:w="108" w:type="dxa"/>
        </w:tblCellMar>
      </w:tblPr>
      <w:tblGrid>
        <w:gridCol w:w="2205"/>
        <w:gridCol w:w="2205"/>
        <w:gridCol w:w="2205"/>
        <w:gridCol w:w="2205"/>
      </w:tblGrid>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vAlign w:val="center"/>
          </w:tcPr>
          <w:p>
            <w:pPr>
              <w:widowControl/>
              <w:jc w:val="center"/>
              <w:rPr>
                <w:rFonts w:ascii="黑体" w:hAnsi="宋体" w:eastAsia="黑体" w:cs="宋体"/>
                <w:color w:val="auto"/>
                <w:kern w:val="0"/>
                <w:szCs w:val="21"/>
              </w:rPr>
            </w:pPr>
            <w:r>
              <w:rPr>
                <w:rFonts w:hint="eastAsia" w:ascii="黑体" w:hAnsi="宋体" w:eastAsia="黑体" w:cs="宋体"/>
                <w:color w:val="auto"/>
                <w:kern w:val="0"/>
                <w:szCs w:val="21"/>
              </w:rPr>
              <w:t>第二十条第（一）项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eastAsia="仿宋_GB2312" w:cs="Calibri"/>
                <w:color w:val="auto"/>
                <w:kern w:val="0"/>
                <w:szCs w:val="21"/>
              </w:rPr>
            </w:pPr>
            <w:r>
              <w:rPr>
                <w:rFonts w:hint="eastAsia" w:ascii="仿宋_GB2312" w:eastAsia="仿宋_GB2312" w:cs="Calibri"/>
                <w:color w:val="auto"/>
                <w:kern w:val="0"/>
                <w:szCs w:val="21"/>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vAlign w:val="center"/>
          </w:tcPr>
          <w:p>
            <w:pPr>
              <w:widowControl/>
              <w:jc w:val="center"/>
              <w:rPr>
                <w:rFonts w:ascii="黑体" w:hAnsi="宋体" w:eastAsia="黑体" w:cs="宋体"/>
                <w:color w:val="auto"/>
                <w:kern w:val="0"/>
                <w:szCs w:val="21"/>
              </w:rPr>
            </w:pPr>
            <w:r>
              <w:rPr>
                <w:rFonts w:hint="eastAsia" w:ascii="黑体" w:hAnsi="宋体" w:eastAsia="黑体" w:cs="宋体"/>
                <w:color w:val="auto"/>
                <w:kern w:val="0"/>
                <w:szCs w:val="21"/>
              </w:rPr>
              <w:t>第二十条第（五）项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eastAsia="仿宋_GB2312" w:cs="Calibri"/>
                <w:color w:val="auto"/>
                <w:kern w:val="0"/>
                <w:szCs w:val="21"/>
              </w:rPr>
            </w:pPr>
            <w:r>
              <w:rPr>
                <w:rFonts w:hint="eastAsia" w:ascii="仿宋_GB2312" w:eastAsia="仿宋_GB2312" w:cs="Calibri"/>
                <w:color w:val="auto"/>
                <w:kern w:val="0"/>
                <w:szCs w:val="21"/>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vAlign w:val="center"/>
          </w:tcPr>
          <w:p>
            <w:pPr>
              <w:widowControl/>
              <w:jc w:val="center"/>
              <w:rPr>
                <w:rFonts w:ascii="黑体" w:hAnsi="宋体" w:eastAsia="黑体" w:cs="宋体"/>
                <w:color w:val="auto"/>
                <w:kern w:val="0"/>
                <w:szCs w:val="21"/>
              </w:rPr>
            </w:pPr>
            <w:r>
              <w:rPr>
                <w:rFonts w:hint="eastAsia" w:ascii="黑体" w:hAnsi="宋体" w:eastAsia="黑体" w:cs="宋体"/>
                <w:color w:val="auto"/>
                <w:kern w:val="0"/>
                <w:szCs w:val="21"/>
              </w:rPr>
              <w:t>第二十条第（六）项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eastAsia="仿宋_GB2312" w:cs="Calibri"/>
                <w:color w:val="auto"/>
                <w:kern w:val="0"/>
                <w:szCs w:val="21"/>
              </w:rPr>
            </w:pPr>
            <w:r>
              <w:rPr>
                <w:rFonts w:hint="eastAsia" w:ascii="仿宋_GB2312" w:eastAsia="仿宋_GB2312" w:cs="Calibri"/>
                <w:color w:val="auto"/>
                <w:kern w:val="0"/>
                <w:szCs w:val="21"/>
              </w:rPr>
              <w:t>　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eastAsia="仿宋_GB2312" w:cs="Calibri"/>
                <w:color w:val="auto"/>
                <w:kern w:val="0"/>
                <w:szCs w:val="21"/>
              </w:rPr>
            </w:pPr>
            <w:r>
              <w:rPr>
                <w:rFonts w:hint="eastAsia" w:ascii="仿宋_GB2312" w:eastAsia="仿宋_GB2312" w:cs="Calibri"/>
                <w:color w:val="auto"/>
                <w:kern w:val="0"/>
                <w:szCs w:val="21"/>
              </w:rPr>
              <w:t>　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auto" w:fill="C6D9F1"/>
            <w:vAlign w:val="center"/>
          </w:tcPr>
          <w:p>
            <w:pPr>
              <w:widowControl/>
              <w:jc w:val="center"/>
              <w:rPr>
                <w:rFonts w:ascii="黑体" w:hAnsi="宋体" w:eastAsia="黑体" w:cs="宋体"/>
                <w:color w:val="auto"/>
                <w:kern w:val="0"/>
                <w:szCs w:val="21"/>
              </w:rPr>
            </w:pPr>
            <w:r>
              <w:rPr>
                <w:rFonts w:hint="eastAsia" w:ascii="黑体" w:hAnsi="宋体" w:eastAsia="黑体" w:cs="宋体"/>
                <w:color w:val="auto"/>
                <w:kern w:val="0"/>
                <w:szCs w:val="21"/>
              </w:rPr>
              <w:t>第二十条第（八）项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eastAsia="仿宋_GB2312" w:cs="Calibri"/>
                <w:color w:val="auto"/>
                <w:kern w:val="0"/>
                <w:szCs w:val="21"/>
              </w:rPr>
            </w:pPr>
            <w:r>
              <w:rPr>
                <w:rFonts w:hint="eastAsia" w:ascii="仿宋_GB2312" w:eastAsia="仿宋_GB2312" w:cs="Calibri"/>
                <w:color w:val="auto"/>
                <w:kern w:val="0"/>
                <w:szCs w:val="21"/>
              </w:rPr>
              <w:t>0</w:t>
            </w:r>
          </w:p>
        </w:tc>
      </w:tr>
    </w:tbl>
    <w:p>
      <w:pPr>
        <w:spacing w:beforeLines="10" w:afterLines="10" w:line="600" w:lineRule="exact"/>
        <w:ind w:firstLine="642" w:firstLineChars="200"/>
        <w:rPr>
          <w:rFonts w:ascii="方正黑体简体" w:hAnsi="方正黑体简体" w:eastAsia="方正黑体简体" w:cs="方正黑体简体"/>
          <w:b/>
          <w:color w:val="auto"/>
          <w:sz w:val="32"/>
          <w:szCs w:val="32"/>
        </w:rPr>
      </w:pPr>
      <w:r>
        <w:rPr>
          <w:rFonts w:hint="eastAsia" w:ascii="方正黑体简体" w:hAnsi="方正黑体简体" w:eastAsia="方正黑体简体" w:cs="方正黑体简体"/>
          <w:b/>
          <w:color w:val="auto"/>
          <w:sz w:val="32"/>
          <w:szCs w:val="32"/>
        </w:rPr>
        <w:t>三、收到和处理政府信息公开申请情况</w:t>
      </w:r>
    </w:p>
    <w:tbl>
      <w:tblPr>
        <w:tblStyle w:val="7"/>
        <w:tblW w:w="95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7"/>
        <w:gridCol w:w="1700"/>
        <w:gridCol w:w="2971"/>
        <w:gridCol w:w="751"/>
        <w:gridCol w:w="539"/>
        <w:gridCol w:w="544"/>
        <w:gridCol w:w="719"/>
        <w:gridCol w:w="674"/>
        <w:gridCol w:w="525"/>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tcBorders>
              <w:top w:val="single" w:color="auto" w:sz="8" w:space="0"/>
              <w:left w:val="single" w:color="auto" w:sz="8" w:space="0"/>
              <w:bottom w:val="single" w:color="auto" w:sz="4" w:space="0"/>
              <w:right w:val="single" w:color="auto" w:sz="4" w:space="0"/>
            </w:tcBorders>
            <w:shd w:val="clear" w:color="auto" w:fill="auto"/>
            <w:tcMar>
              <w:left w:w="108" w:type="dxa"/>
              <w:right w:w="108" w:type="dxa"/>
            </w:tcMar>
            <w:vAlign w:val="center"/>
          </w:tcPr>
          <w:p>
            <w:pPr>
              <w:widowControl/>
              <w:jc w:val="center"/>
              <w:rPr>
                <w:rFonts w:ascii="楷体_GB2312" w:hAnsi="宋体" w:eastAsia="楷体_GB2312" w:cs="楷体_GB2312"/>
                <w:color w:val="auto"/>
                <w:kern w:val="0"/>
                <w:szCs w:val="21"/>
              </w:rPr>
            </w:pPr>
            <w:r>
              <w:rPr>
                <w:rFonts w:hint="eastAsia" w:ascii="楷体_GB2312" w:hAnsi="宋体" w:eastAsia="楷体_GB2312" w:cs="楷体_GB2312"/>
                <w:color w:val="auto"/>
                <w:kern w:val="0"/>
                <w:szCs w:val="21"/>
              </w:rPr>
              <w:t>（本列数据的勾稽关系为：第一项加第二项之和，</w:t>
            </w:r>
          </w:p>
          <w:p>
            <w:pPr>
              <w:widowControl/>
              <w:jc w:val="center"/>
              <w:rPr>
                <w:rFonts w:ascii="仿宋_GB2312" w:hAnsi="Times New Roman" w:eastAsia="仿宋_GB2312" w:cs="仿宋_GB2312"/>
                <w:color w:val="auto"/>
                <w:szCs w:val="21"/>
              </w:rPr>
            </w:pPr>
            <w:r>
              <w:rPr>
                <w:rFonts w:hint="eastAsia" w:ascii="楷体_GB2312" w:hAnsi="宋体" w:eastAsia="楷体_GB2312" w:cs="楷体_GB2312"/>
                <w:color w:val="auto"/>
                <w:kern w:val="0"/>
                <w:szCs w:val="21"/>
              </w:rPr>
              <w:t>等于第三项加第四项之和）</w:t>
            </w:r>
          </w:p>
        </w:tc>
        <w:tc>
          <w:tcPr>
            <w:tcW w:w="4448" w:type="dxa"/>
            <w:gridSpan w:val="7"/>
            <w:tcBorders>
              <w:top w:val="single" w:color="auto" w:sz="8"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宋体" w:eastAsia="黑体" w:cs="黑体"/>
                <w:color w:val="auto"/>
                <w:szCs w:val="21"/>
              </w:rPr>
            </w:pPr>
            <w:r>
              <w:rPr>
                <w:rFonts w:hint="eastAsia" w:ascii="黑体" w:hAnsi="宋体" w:eastAsia="黑体" w:cs="黑体"/>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tcBorders>
              <w:top w:val="single" w:color="auto" w:sz="8"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747"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jc w:val="center"/>
              <w:rPr>
                <w:rFonts w:ascii="黑体" w:hAnsi="宋体" w:eastAsia="黑体" w:cs="黑体"/>
                <w:color w:val="auto"/>
                <w:szCs w:val="21"/>
              </w:rPr>
            </w:pPr>
            <w:r>
              <w:rPr>
                <w:rFonts w:hint="eastAsia" w:ascii="黑体" w:hAnsi="宋体" w:eastAsia="黑体" w:cs="黑体"/>
                <w:color w:val="auto"/>
                <w:kern w:val="0"/>
                <w:szCs w:val="21"/>
              </w:rPr>
              <w:t>自然人</w:t>
            </w:r>
          </w:p>
        </w:tc>
        <w:tc>
          <w:tcPr>
            <w:tcW w:w="3000" w:type="dxa"/>
            <w:gridSpan w:val="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320" w:lineRule="exact"/>
              <w:jc w:val="center"/>
              <w:rPr>
                <w:rFonts w:ascii="黑体" w:hAnsi="宋体" w:eastAsia="黑体" w:cs="黑体"/>
                <w:color w:val="auto"/>
                <w:szCs w:val="21"/>
              </w:rPr>
            </w:pPr>
            <w:r>
              <w:rPr>
                <w:rFonts w:hint="eastAsia" w:ascii="黑体" w:hAnsi="宋体" w:eastAsia="黑体" w:cs="黑体"/>
                <w:color w:val="auto"/>
                <w:kern w:val="0"/>
                <w:szCs w:val="21"/>
              </w:rPr>
              <w:t>法人或其他组织</w:t>
            </w:r>
          </w:p>
        </w:tc>
        <w:tc>
          <w:tcPr>
            <w:tcW w:w="701" w:type="dxa"/>
            <w:vMerge w:val="restart"/>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jc w:val="center"/>
              <w:rPr>
                <w:rFonts w:ascii="黑体" w:hAnsi="宋体" w:eastAsia="黑体" w:cs="黑体"/>
                <w:color w:val="auto"/>
                <w:szCs w:val="21"/>
              </w:rPr>
            </w:pPr>
            <w:r>
              <w:rPr>
                <w:rFonts w:hint="eastAsia" w:ascii="黑体" w:hAnsi="宋体" w:eastAsia="黑体" w:cs="黑体"/>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tcBorders>
              <w:top w:val="single" w:color="auto" w:sz="8"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宋体" w:eastAsia="黑体" w:cs="黑体"/>
                <w:color w:val="auto"/>
                <w:szCs w:val="21"/>
              </w:rPr>
            </w:pPr>
            <w:r>
              <w:rPr>
                <w:rFonts w:hint="eastAsia" w:ascii="黑体" w:hAnsi="宋体" w:eastAsia="黑体" w:cs="黑体"/>
                <w:color w:val="auto"/>
                <w:kern w:val="0"/>
                <w:szCs w:val="21"/>
              </w:rPr>
              <w:t>商业企业</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320" w:lineRule="exact"/>
              <w:ind w:left="-107" w:leftChars="-51" w:right="-107" w:rightChars="-51"/>
              <w:jc w:val="center"/>
              <w:rPr>
                <w:rFonts w:ascii="黑体" w:hAnsi="宋体" w:eastAsia="黑体" w:cs="黑体"/>
                <w:color w:val="auto"/>
                <w:szCs w:val="21"/>
              </w:rPr>
            </w:pPr>
            <w:r>
              <w:rPr>
                <w:rFonts w:hint="eastAsia" w:ascii="黑体" w:hAnsi="宋体" w:eastAsia="黑体" w:cs="黑体"/>
                <w:color w:val="auto"/>
                <w:kern w:val="0"/>
                <w:szCs w:val="21"/>
              </w:rPr>
              <w:t>科研机构</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320" w:lineRule="exact"/>
              <w:ind w:left="-107" w:leftChars="-51" w:right="-107" w:rightChars="-51"/>
              <w:jc w:val="center"/>
              <w:rPr>
                <w:rFonts w:ascii="黑体" w:hAnsi="宋体" w:eastAsia="黑体" w:cs="黑体"/>
                <w:color w:val="auto"/>
                <w:szCs w:val="21"/>
              </w:rPr>
            </w:pPr>
            <w:r>
              <w:rPr>
                <w:rFonts w:hint="eastAsia" w:ascii="黑体" w:hAnsi="宋体" w:eastAsia="黑体" w:cs="黑体"/>
                <w:color w:val="auto"/>
                <w:kern w:val="0"/>
                <w:szCs w:val="21"/>
              </w:rPr>
              <w:t>社会公益组织</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宋体" w:eastAsia="黑体" w:cs="黑体"/>
                <w:color w:val="auto"/>
                <w:szCs w:val="21"/>
              </w:rPr>
            </w:pPr>
            <w:r>
              <w:rPr>
                <w:rFonts w:hint="eastAsia" w:ascii="黑体" w:hAnsi="宋体" w:eastAsia="黑体" w:cs="黑体"/>
                <w:color w:val="auto"/>
                <w:kern w:val="0"/>
                <w:szCs w:val="21"/>
              </w:rPr>
              <w:t>法律服务机构</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360" w:lineRule="exact"/>
              <w:ind w:left="-63" w:leftChars="-30" w:right="-134" w:rightChars="-64"/>
              <w:jc w:val="center"/>
              <w:rPr>
                <w:rFonts w:ascii="黑体" w:hAnsi="宋体" w:eastAsia="黑体" w:cs="黑体"/>
                <w:color w:val="auto"/>
                <w:szCs w:val="21"/>
              </w:rPr>
            </w:pPr>
            <w:r>
              <w:rPr>
                <w:rFonts w:hint="eastAsia" w:ascii="黑体" w:hAnsi="宋体" w:eastAsia="黑体" w:cs="黑体"/>
                <w:color w:val="auto"/>
                <w:kern w:val="0"/>
                <w:szCs w:val="21"/>
              </w:rPr>
              <w:t>其他</w:t>
            </w:r>
          </w:p>
        </w:tc>
        <w:tc>
          <w:tcPr>
            <w:tcW w:w="701" w:type="dxa"/>
            <w:vMerge w:val="continue"/>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rPr>
                <w:color w:val="auto"/>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widowControl/>
              <w:rPr>
                <w:rFonts w:ascii="黑体" w:hAnsi="宋体" w:eastAsia="黑体" w:cs="黑体"/>
                <w:color w:val="auto"/>
                <w:szCs w:val="21"/>
              </w:rPr>
            </w:pPr>
            <w:r>
              <w:rPr>
                <w:rFonts w:hint="eastAsia" w:ascii="黑体" w:hAnsi="宋体" w:eastAsia="黑体" w:cs="黑体"/>
                <w:color w:val="auto"/>
                <w:kern w:val="0"/>
                <w:szCs w:val="21"/>
              </w:rPr>
              <w:t>一、本年新收政府信息公开申请数量</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widowControl/>
              <w:rPr>
                <w:rFonts w:ascii="黑体" w:hAnsi="宋体" w:eastAsia="黑体" w:cs="黑体"/>
                <w:color w:val="auto"/>
                <w:szCs w:val="21"/>
              </w:rPr>
            </w:pPr>
            <w:r>
              <w:rPr>
                <w:rFonts w:hint="eastAsia" w:ascii="黑体" w:hAnsi="宋体" w:eastAsia="黑体" w:cs="黑体"/>
                <w:color w:val="auto"/>
                <w:kern w:val="0"/>
                <w:szCs w:val="21"/>
              </w:rPr>
              <w:t>二、上年结转政府信息公开申请数量</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widowControl/>
              <w:spacing w:after="180"/>
              <w:rPr>
                <w:rFonts w:ascii="黑体" w:hAnsi="宋体" w:eastAsia="黑体" w:cs="黑体"/>
                <w:color w:val="auto"/>
                <w:szCs w:val="21"/>
              </w:rPr>
            </w:pPr>
            <w:r>
              <w:rPr>
                <w:rFonts w:hint="eastAsia" w:ascii="黑体" w:hAnsi="宋体" w:eastAsia="黑体" w:cs="黑体"/>
                <w:color w:val="auto"/>
                <w:kern w:val="0"/>
                <w:szCs w:val="21"/>
              </w:rPr>
              <w:t>三、本年度办理结果</w:t>
            </w:r>
          </w:p>
        </w:tc>
        <w:tc>
          <w:tcPr>
            <w:tcW w:w="467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rPr>
                <w:rFonts w:ascii="黑体" w:hAnsi="宋体" w:eastAsia="黑体" w:cs="黑体"/>
                <w:color w:val="auto"/>
                <w:szCs w:val="21"/>
              </w:rPr>
            </w:pPr>
            <w:r>
              <w:rPr>
                <w:rFonts w:hint="eastAsia" w:ascii="黑体" w:hAnsi="宋体" w:eastAsia="黑体" w:cs="黑体"/>
                <w:color w:val="auto"/>
                <w:kern w:val="0"/>
                <w:szCs w:val="21"/>
              </w:rPr>
              <w:t>（一）予以公开</w:t>
            </w:r>
          </w:p>
        </w:tc>
        <w:tc>
          <w:tcPr>
            <w:tcW w:w="75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3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467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rPr>
                <w:rFonts w:ascii="黑体" w:hAnsi="宋体" w:eastAsia="黑体" w:cs="黑体"/>
                <w:color w:val="auto"/>
                <w:szCs w:val="21"/>
              </w:rPr>
            </w:pPr>
            <w:r>
              <w:rPr>
                <w:rFonts w:hint="eastAsia" w:ascii="黑体" w:hAnsi="宋体" w:eastAsia="黑体" w:cs="黑体"/>
                <w:color w:val="auto"/>
                <w:kern w:val="0"/>
                <w:szCs w:val="21"/>
              </w:rPr>
              <w:t>（二）部分公开（区分处理的，只计这一情形，不计其他情形）</w:t>
            </w:r>
          </w:p>
        </w:tc>
        <w:tc>
          <w:tcPr>
            <w:tcW w:w="75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3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ind w:left="-107" w:leftChars="-51"/>
              <w:rPr>
                <w:rFonts w:ascii="黑体" w:hAnsi="宋体" w:eastAsia="黑体" w:cs="黑体"/>
                <w:color w:val="auto"/>
                <w:szCs w:val="21"/>
              </w:rPr>
            </w:pPr>
            <w:r>
              <w:rPr>
                <w:rFonts w:hint="eastAsia" w:ascii="黑体" w:hAnsi="宋体" w:eastAsia="黑体" w:cs="黑体"/>
                <w:color w:val="auto"/>
                <w:kern w:val="0"/>
                <w:szCs w:val="21"/>
              </w:rPr>
              <w:t>（三）不予公开</w:t>
            </w: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1.属于国家秘密</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2.其他法律行政法规禁止公开</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3.危及“三安全一稳定”</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4.保护第三方合法权益</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5.属于三类内部事务信息</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6.属于四类过程性信息</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7.属于行政执法案卷</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8.属于行政查询事项</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ind w:left="-107" w:leftChars="-51"/>
              <w:rPr>
                <w:rFonts w:ascii="黑体" w:hAnsi="宋体" w:eastAsia="黑体" w:cs="黑体"/>
                <w:color w:val="auto"/>
                <w:szCs w:val="21"/>
              </w:rPr>
            </w:pPr>
            <w:r>
              <w:rPr>
                <w:rFonts w:hint="eastAsia" w:ascii="黑体" w:hAnsi="宋体" w:eastAsia="黑体" w:cs="黑体"/>
                <w:color w:val="auto"/>
                <w:kern w:val="0"/>
                <w:szCs w:val="21"/>
              </w:rPr>
              <w:t>（四）无法提供</w:t>
            </w: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1.本机关不掌握相关政府信息</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2.没有现成信息需要另行制作</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3.补正后申请内容仍不明确</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ind w:left="-107" w:leftChars="-51"/>
              <w:rPr>
                <w:rFonts w:ascii="黑体" w:hAnsi="宋体" w:eastAsia="黑体" w:cs="黑体"/>
                <w:color w:val="auto"/>
                <w:szCs w:val="21"/>
              </w:rPr>
            </w:pPr>
            <w:r>
              <w:rPr>
                <w:rFonts w:hint="eastAsia" w:ascii="黑体" w:hAnsi="宋体" w:eastAsia="黑体" w:cs="黑体"/>
                <w:color w:val="auto"/>
                <w:kern w:val="0"/>
                <w:szCs w:val="21"/>
              </w:rPr>
              <w:t>（五）不予处理</w:t>
            </w: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1.信访举报投诉类申请</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2.重复申请</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szCs w:val="21"/>
              </w:rPr>
            </w:pPr>
            <w:r>
              <w:rPr>
                <w:rFonts w:hint="eastAsia" w:ascii="仿宋_GB2312" w:hAnsi="宋体" w:eastAsia="仿宋_GB2312" w:cs="仿宋_GB2312"/>
                <w:color w:val="auto"/>
                <w:kern w:val="0"/>
                <w:szCs w:val="21"/>
              </w:rPr>
              <w:t>3.要求提供公开出版物</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00" w:lineRule="exact"/>
              <w:rPr>
                <w:rFonts w:ascii="仿宋_GB2312" w:hAnsi="宋体" w:eastAsia="仿宋_GB2312" w:cs="仿宋_GB2312"/>
                <w:color w:val="auto"/>
                <w:szCs w:val="21"/>
              </w:rPr>
            </w:pPr>
            <w:r>
              <w:rPr>
                <w:rFonts w:hint="eastAsia" w:ascii="仿宋_GB2312" w:hAnsi="宋体" w:eastAsia="仿宋_GB2312" w:cs="仿宋_GB2312"/>
                <w:color w:val="auto"/>
                <w:kern w:val="0"/>
                <w:szCs w:val="21"/>
              </w:rPr>
              <w:t>4.无正当理由大量反复申请</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300" w:lineRule="exact"/>
              <w:rPr>
                <w:rFonts w:ascii="仿宋_GB2312" w:hAnsi="宋体" w:eastAsia="仿宋_GB2312" w:cs="仿宋_GB2312"/>
                <w:color w:val="auto"/>
                <w:kern w:val="0"/>
                <w:szCs w:val="21"/>
              </w:rPr>
            </w:pPr>
            <w:r>
              <w:rPr>
                <w:rFonts w:hint="eastAsia" w:ascii="仿宋_GB2312" w:hAnsi="宋体" w:eastAsia="仿宋_GB2312" w:cs="仿宋_GB2312"/>
                <w:color w:val="auto"/>
                <w:kern w:val="0"/>
                <w:szCs w:val="21"/>
              </w:rPr>
              <w:t>5.要求行政机关确认或重新</w:t>
            </w:r>
          </w:p>
          <w:p>
            <w:pPr>
              <w:widowControl/>
              <w:spacing w:line="300" w:lineRule="exact"/>
              <w:ind w:firstLine="210" w:firstLineChars="100"/>
              <w:rPr>
                <w:rFonts w:ascii="仿宋_GB2312" w:hAnsi="宋体" w:eastAsia="仿宋_GB2312" w:cs="仿宋_GB2312"/>
                <w:color w:val="auto"/>
                <w:szCs w:val="21"/>
              </w:rPr>
            </w:pPr>
            <w:r>
              <w:rPr>
                <w:rFonts w:hint="eastAsia" w:ascii="仿宋_GB2312" w:hAnsi="宋体" w:eastAsia="仿宋_GB2312" w:cs="仿宋_GB2312"/>
                <w:color w:val="auto"/>
                <w:kern w:val="0"/>
                <w:szCs w:val="21"/>
              </w:rPr>
              <w:t>出具已获取信息</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300" w:lineRule="exact"/>
              <w:rPr>
                <w:rFonts w:ascii="黑体" w:hAnsi="宋体" w:eastAsia="黑体" w:cs="黑体"/>
                <w:color w:val="auto"/>
                <w:kern w:val="0"/>
                <w:szCs w:val="21"/>
              </w:rPr>
            </w:pPr>
            <w:r>
              <w:rPr>
                <w:rFonts w:hint="eastAsia" w:ascii="黑体" w:hAnsi="宋体" w:eastAsia="黑体" w:cs="黑体"/>
                <w:color w:val="auto"/>
                <w:kern w:val="0"/>
                <w:szCs w:val="21"/>
              </w:rPr>
              <w:t>（六）其他处理</w:t>
            </w: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楷体" w:eastAsia="仿宋_GB2312" w:cs="仿宋_GB2312"/>
                <w:color w:val="auto"/>
              </w:rPr>
            </w:pPr>
            <w:r>
              <w:rPr>
                <w:rFonts w:hint="eastAsia" w:ascii="仿宋_GB2312" w:hAnsi="楷体" w:eastAsia="仿宋_GB2312" w:cs="仿宋_GB2312"/>
                <w:color w:val="auto"/>
              </w:rPr>
              <w:t>1.申请人无正当理由逾期不补正、行政机关不再处理其政府信息公开申请</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仿宋_GB2312"/>
                <w:color w:val="auto"/>
                <w:kern w:val="0"/>
                <w:szCs w:val="21"/>
              </w:rPr>
            </w:pPr>
            <w:r>
              <w:rPr>
                <w:rFonts w:hint="eastAsia" w:ascii="仿宋_GB2312" w:hAnsi="楷体" w:eastAsia="仿宋_GB2312" w:cs="仿宋_GB2312"/>
                <w:color w:val="auto"/>
              </w:rPr>
              <w:t>2.申请人逾期未按收费通知要求缴纳费用、行政机关不再处理其政府信息公开申请</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2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仿宋_GB2312"/>
                <w:color w:val="auto"/>
                <w:kern w:val="0"/>
                <w:szCs w:val="21"/>
              </w:rPr>
            </w:pPr>
            <w:r>
              <w:rPr>
                <w:rFonts w:hint="eastAsia" w:ascii="仿宋_GB2312" w:hAnsi="楷体" w:eastAsia="仿宋_GB2312" w:cs="仿宋_GB2312"/>
                <w:color w:val="auto"/>
              </w:rPr>
              <w:t>3.其他</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rPr>
                <w:color w:val="auto"/>
                <w:szCs w:val="22"/>
              </w:rPr>
            </w:pPr>
          </w:p>
        </w:tc>
        <w:tc>
          <w:tcPr>
            <w:tcW w:w="4677"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300" w:lineRule="exact"/>
              <w:rPr>
                <w:rFonts w:ascii="黑体" w:hAnsi="宋体" w:eastAsia="黑体" w:cs="黑体"/>
                <w:color w:val="auto"/>
                <w:kern w:val="0"/>
                <w:szCs w:val="21"/>
              </w:rPr>
            </w:pPr>
            <w:r>
              <w:rPr>
                <w:rFonts w:hint="eastAsia" w:ascii="黑体" w:hAnsi="宋体" w:eastAsia="黑体" w:cs="黑体"/>
                <w:color w:val="auto"/>
                <w:kern w:val="0"/>
                <w:szCs w:val="21"/>
              </w:rPr>
              <w:t>（七）总计</w:t>
            </w:r>
          </w:p>
        </w:tc>
        <w:tc>
          <w:tcPr>
            <w:tcW w:w="74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tcBorders>
              <w:top w:val="single" w:color="auto" w:sz="4" w:space="0"/>
              <w:left w:val="single" w:color="auto" w:sz="8" w:space="0"/>
              <w:bottom w:val="single" w:color="auto" w:sz="8" w:space="0"/>
              <w:right w:val="single" w:color="auto" w:sz="4" w:space="0"/>
            </w:tcBorders>
            <w:shd w:val="clear" w:color="auto" w:fill="auto"/>
            <w:tcMar>
              <w:left w:w="108" w:type="dxa"/>
              <w:right w:w="108" w:type="dxa"/>
            </w:tcMar>
            <w:vAlign w:val="center"/>
          </w:tcPr>
          <w:p>
            <w:pPr>
              <w:widowControl/>
              <w:spacing w:line="300" w:lineRule="exact"/>
              <w:rPr>
                <w:rFonts w:ascii="黑体" w:hAnsi="宋体" w:eastAsia="黑体" w:cs="黑体"/>
                <w:color w:val="auto"/>
                <w:kern w:val="0"/>
                <w:szCs w:val="21"/>
              </w:rPr>
            </w:pPr>
            <w:r>
              <w:rPr>
                <w:rFonts w:hint="eastAsia" w:ascii="黑体" w:hAnsi="宋体" w:eastAsia="黑体" w:cs="黑体"/>
                <w:color w:val="auto"/>
                <w:kern w:val="0"/>
                <w:szCs w:val="21"/>
              </w:rPr>
              <w:t>四、结转下年度继续办理</w:t>
            </w:r>
          </w:p>
        </w:tc>
        <w:tc>
          <w:tcPr>
            <w:tcW w:w="747"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40"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20"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675"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525" w:type="dxa"/>
            <w:tcBorders>
              <w:top w:val="single" w:color="auto" w:sz="4" w:space="0"/>
              <w:left w:val="single" w:color="auto" w:sz="4" w:space="0"/>
              <w:bottom w:val="single" w:color="auto" w:sz="8" w:space="0"/>
              <w:right w:val="single" w:color="auto" w:sz="4"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c>
          <w:tcPr>
            <w:tcW w:w="701" w:type="dxa"/>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widowControl/>
              <w:spacing w:line="240" w:lineRule="exact"/>
              <w:jc w:val="center"/>
              <w:rPr>
                <w:rFonts w:ascii="仿宋_GB2312" w:hAnsi="Times New Roman" w:eastAsia="仿宋_GB2312" w:cs="仿宋_GB2312"/>
                <w:color w:val="auto"/>
                <w:szCs w:val="21"/>
              </w:rPr>
            </w:pPr>
            <w:r>
              <w:rPr>
                <w:rFonts w:hint="eastAsia" w:ascii="仿宋_GB2312" w:hAnsi="Times New Roman" w:eastAsia="仿宋_GB2312" w:cs="仿宋_GB2312"/>
                <w:color w:val="auto"/>
                <w:szCs w:val="21"/>
              </w:rPr>
              <w:t>0</w:t>
            </w:r>
          </w:p>
        </w:tc>
      </w:tr>
    </w:tbl>
    <w:p>
      <w:pPr>
        <w:spacing w:line="590" w:lineRule="exact"/>
        <w:ind w:right="-105" w:rightChars="-50" w:firstLine="642" w:firstLineChars="200"/>
        <w:rPr>
          <w:rFonts w:ascii="方正黑体简体" w:hAnsi="方正黑体简体" w:eastAsia="方正黑体简体" w:cs="方正黑体简体"/>
          <w:b/>
          <w:color w:val="auto"/>
          <w:sz w:val="32"/>
          <w:szCs w:val="32"/>
        </w:rPr>
      </w:pPr>
    </w:p>
    <w:p>
      <w:pPr>
        <w:spacing w:line="590" w:lineRule="exact"/>
        <w:ind w:right="-105" w:rightChars="-50" w:firstLine="642" w:firstLineChars="200"/>
        <w:rPr>
          <w:rFonts w:ascii="方正黑体简体" w:hAnsi="方正黑体简体" w:eastAsia="方正黑体简体" w:cs="方正黑体简体"/>
          <w:b/>
          <w:color w:val="auto"/>
          <w:sz w:val="32"/>
          <w:szCs w:val="32"/>
        </w:rPr>
      </w:pPr>
      <w:r>
        <w:rPr>
          <w:rFonts w:hint="eastAsia" w:ascii="方正黑体简体" w:hAnsi="方正黑体简体" w:eastAsia="方正黑体简体" w:cs="方正黑体简体"/>
          <w:b/>
          <w:color w:val="auto"/>
          <w:sz w:val="32"/>
          <w:szCs w:val="32"/>
        </w:rPr>
        <w:t>四、政府信息公开行政复议、行政诉讼情况</w:t>
      </w:r>
    </w:p>
    <w:tbl>
      <w:tblPr>
        <w:tblStyle w:val="7"/>
        <w:tblW w:w="907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05"/>
        <w:gridCol w:w="605"/>
        <w:gridCol w:w="605"/>
        <w:gridCol w:w="605"/>
        <w:gridCol w:w="658"/>
        <w:gridCol w:w="550"/>
        <w:gridCol w:w="605"/>
        <w:gridCol w:w="605"/>
        <w:gridCol w:w="605"/>
        <w:gridCol w:w="605"/>
        <w:gridCol w:w="605"/>
        <w:gridCol w:w="605"/>
        <w:gridCol w:w="605"/>
        <w:gridCol w:w="606"/>
        <w:gridCol w:w="60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宋体" w:eastAsia="黑体" w:cs="黑体"/>
                <w:color w:val="auto"/>
              </w:rPr>
            </w:pPr>
            <w:r>
              <w:rPr>
                <w:rFonts w:hint="eastAsia" w:ascii="黑体" w:hAnsi="宋体" w:eastAsia="黑体" w:cs="黑体"/>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宋体" w:eastAsia="黑体" w:cs="黑体"/>
                <w:color w:val="auto"/>
              </w:rPr>
            </w:pPr>
            <w:r>
              <w:rPr>
                <w:rFonts w:hint="eastAsia" w:ascii="黑体" w:hAnsi="宋体" w:eastAsia="黑体" w:cs="黑体"/>
                <w:color w:val="auto"/>
                <w:kern w:val="0"/>
                <w:sz w:val="20"/>
                <w:szCs w:val="20"/>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宋体" w:eastAsia="黑体" w:cs="黑体"/>
                <w:color w:val="auto"/>
                <w:kern w:val="0"/>
                <w:sz w:val="20"/>
                <w:szCs w:val="20"/>
              </w:rPr>
            </w:pPr>
            <w:r>
              <w:rPr>
                <w:rFonts w:hint="eastAsia" w:ascii="黑体" w:hAnsi="宋体" w:eastAsia="黑体" w:cs="黑体"/>
                <w:color w:val="auto"/>
                <w:kern w:val="0"/>
                <w:sz w:val="20"/>
                <w:szCs w:val="20"/>
              </w:rPr>
              <w:t>结果</w:t>
            </w:r>
          </w:p>
          <w:p>
            <w:pPr>
              <w:widowControl/>
              <w:ind w:left="-149" w:leftChars="-71" w:right="-170" w:rightChars="-81"/>
              <w:jc w:val="center"/>
              <w:rPr>
                <w:rFonts w:ascii="黑体" w:hAnsi="宋体" w:eastAsia="黑体" w:cs="黑体"/>
                <w:color w:val="auto"/>
              </w:rPr>
            </w:pPr>
            <w:r>
              <w:rPr>
                <w:rFonts w:hint="eastAsia" w:ascii="黑体" w:hAnsi="宋体" w:eastAsia="黑体" w:cs="黑体"/>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宋体" w:eastAsia="黑体" w:cs="黑体"/>
                <w:color w:val="auto"/>
              </w:rPr>
            </w:pPr>
            <w:r>
              <w:rPr>
                <w:rFonts w:hint="eastAsia" w:ascii="黑体" w:hAnsi="宋体" w:eastAsia="黑体" w:cs="黑体"/>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宋体" w:eastAsia="黑体" w:cs="黑体"/>
                <w:color w:val="auto"/>
              </w:rPr>
            </w:pPr>
            <w:r>
              <w:rPr>
                <w:rFonts w:hint="eastAsia" w:ascii="黑体" w:hAnsi="宋体" w:eastAsia="黑体" w:cs="黑体"/>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宋体" w:eastAsia="黑体" w:cs="黑体"/>
                <w:color w:val="auto"/>
                <w:kern w:val="0"/>
                <w:sz w:val="20"/>
                <w:szCs w:val="20"/>
              </w:rPr>
            </w:pPr>
            <w:r>
              <w:rPr>
                <w:rFonts w:hint="eastAsia" w:ascii="黑体" w:hAnsi="宋体" w:eastAsia="黑体" w:cs="黑体"/>
                <w:color w:val="auto"/>
                <w:kern w:val="0"/>
                <w:sz w:val="20"/>
                <w:szCs w:val="20"/>
              </w:rPr>
              <w:t>尚未</w:t>
            </w:r>
          </w:p>
          <w:p>
            <w:pPr>
              <w:widowControl/>
              <w:ind w:left="-118" w:leftChars="-56" w:right="-118" w:rightChars="-56"/>
              <w:jc w:val="center"/>
              <w:rPr>
                <w:rFonts w:ascii="黑体" w:hAnsi="宋体" w:eastAsia="黑体" w:cs="黑体"/>
                <w:color w:val="auto"/>
              </w:rPr>
            </w:pPr>
            <w:r>
              <w:rPr>
                <w:rFonts w:hint="eastAsia" w:ascii="黑体" w:hAnsi="宋体" w:eastAsia="黑体" w:cs="黑体"/>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宋体" w:eastAsia="黑体" w:cs="黑体"/>
                <w:color w:val="auto"/>
                <w:kern w:val="0"/>
                <w:sz w:val="20"/>
                <w:szCs w:val="20"/>
              </w:rPr>
            </w:pPr>
            <w:r>
              <w:rPr>
                <w:rFonts w:hint="eastAsia" w:ascii="黑体" w:hAnsi="宋体" w:eastAsia="黑体" w:cs="黑体"/>
                <w:color w:val="auto"/>
                <w:kern w:val="0"/>
                <w:sz w:val="20"/>
                <w:szCs w:val="20"/>
              </w:rPr>
              <w:t>总</w:t>
            </w:r>
          </w:p>
          <w:p>
            <w:pPr>
              <w:widowControl/>
              <w:spacing w:line="320" w:lineRule="exact"/>
              <w:jc w:val="center"/>
              <w:rPr>
                <w:rFonts w:ascii="黑体" w:hAnsi="宋体" w:eastAsia="黑体" w:cs="黑体"/>
                <w:color w:val="auto"/>
              </w:rPr>
            </w:pPr>
            <w:r>
              <w:rPr>
                <w:rFonts w:hint="eastAsia" w:ascii="黑体" w:hAnsi="宋体" w:eastAsia="黑体" w:cs="黑体"/>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宋体" w:eastAsia="黑体" w:cs="黑体"/>
                <w:color w:val="auto"/>
              </w:rPr>
            </w:pPr>
            <w:r>
              <w:rPr>
                <w:rFonts w:hint="eastAsia" w:ascii="黑体" w:hAnsi="宋体" w:eastAsia="黑体" w:cs="黑体"/>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宋体" w:eastAsia="黑体" w:cs="黑体"/>
                <w:color w:val="auto"/>
              </w:rPr>
            </w:pPr>
            <w:r>
              <w:rPr>
                <w:rFonts w:hint="eastAsia" w:ascii="黑体" w:hAnsi="宋体" w:eastAsia="黑体" w:cs="黑体"/>
                <w:color w:val="auto"/>
                <w:kern w:val="0"/>
                <w:sz w:val="20"/>
                <w:szCs w:val="20"/>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color w:val="auto"/>
                <w:szCs w:val="22"/>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color w:val="auto"/>
                <w:szCs w:val="22"/>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color w:val="auto"/>
                <w:szCs w:val="22"/>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color w:val="auto"/>
                <w:szCs w:val="22"/>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color w:val="auto"/>
                <w:szCs w:val="22"/>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宋体" w:eastAsia="黑体" w:cs="黑体"/>
                <w:color w:val="auto"/>
              </w:rPr>
            </w:pPr>
            <w:r>
              <w:rPr>
                <w:rFonts w:hint="eastAsia" w:ascii="黑体" w:hAnsi="宋体" w:eastAsia="黑体" w:cs="黑体"/>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宋体" w:eastAsia="黑体" w:cs="黑体"/>
                <w:color w:val="auto"/>
              </w:rPr>
            </w:pPr>
            <w:r>
              <w:rPr>
                <w:rFonts w:hint="eastAsia" w:ascii="黑体" w:hAnsi="宋体" w:eastAsia="黑体" w:cs="黑体"/>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宋体" w:eastAsia="黑体" w:cs="黑体"/>
                <w:color w:val="auto"/>
                <w:kern w:val="0"/>
                <w:sz w:val="20"/>
                <w:szCs w:val="20"/>
              </w:rPr>
            </w:pPr>
            <w:r>
              <w:rPr>
                <w:rFonts w:hint="eastAsia" w:ascii="黑体" w:hAnsi="宋体" w:eastAsia="黑体" w:cs="黑体"/>
                <w:color w:val="auto"/>
                <w:kern w:val="0"/>
                <w:sz w:val="20"/>
                <w:szCs w:val="20"/>
              </w:rPr>
              <w:t>其他</w:t>
            </w:r>
          </w:p>
          <w:p>
            <w:pPr>
              <w:widowControl/>
              <w:ind w:left="-126" w:leftChars="-60" w:right="-136" w:rightChars="-65"/>
              <w:jc w:val="center"/>
              <w:rPr>
                <w:rFonts w:ascii="黑体" w:hAnsi="宋体" w:eastAsia="黑体" w:cs="黑体"/>
                <w:color w:val="auto"/>
              </w:rPr>
            </w:pPr>
            <w:r>
              <w:rPr>
                <w:rFonts w:hint="eastAsia" w:ascii="黑体" w:hAnsi="宋体" w:eastAsia="黑体" w:cs="黑体"/>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宋体" w:eastAsia="黑体" w:cs="黑体"/>
                <w:color w:val="auto"/>
                <w:kern w:val="0"/>
                <w:sz w:val="20"/>
                <w:szCs w:val="20"/>
              </w:rPr>
            </w:pPr>
            <w:r>
              <w:rPr>
                <w:rFonts w:hint="eastAsia" w:ascii="黑体" w:hAnsi="宋体" w:eastAsia="黑体" w:cs="黑体"/>
                <w:color w:val="auto"/>
                <w:kern w:val="0"/>
                <w:sz w:val="20"/>
                <w:szCs w:val="20"/>
              </w:rPr>
              <w:t>尚未</w:t>
            </w:r>
          </w:p>
          <w:p>
            <w:pPr>
              <w:widowControl/>
              <w:ind w:left="-164" w:leftChars="-78" w:right="-153" w:rightChars="-73"/>
              <w:jc w:val="center"/>
              <w:rPr>
                <w:rFonts w:ascii="黑体" w:hAnsi="宋体" w:eastAsia="黑体" w:cs="黑体"/>
                <w:color w:val="auto"/>
              </w:rPr>
            </w:pPr>
            <w:r>
              <w:rPr>
                <w:rFonts w:hint="eastAsia" w:ascii="黑体" w:hAnsi="宋体" w:eastAsia="黑体" w:cs="黑体"/>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宋体" w:eastAsia="黑体" w:cs="黑体"/>
                <w:color w:val="auto"/>
              </w:rPr>
            </w:pPr>
            <w:r>
              <w:rPr>
                <w:rFonts w:hint="eastAsia" w:ascii="黑体" w:hAnsi="宋体" w:eastAsia="黑体" w:cs="黑体"/>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宋体" w:eastAsia="黑体" w:cs="黑体"/>
                <w:color w:val="auto"/>
              </w:rPr>
            </w:pPr>
            <w:r>
              <w:rPr>
                <w:rFonts w:hint="eastAsia" w:ascii="黑体" w:hAnsi="宋体" w:eastAsia="黑体" w:cs="黑体"/>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宋体" w:eastAsia="黑体" w:cs="黑体"/>
                <w:color w:val="auto"/>
                <w:kern w:val="0"/>
                <w:sz w:val="20"/>
                <w:szCs w:val="20"/>
              </w:rPr>
            </w:pPr>
            <w:r>
              <w:rPr>
                <w:rFonts w:hint="eastAsia" w:ascii="黑体" w:hAnsi="宋体" w:eastAsia="黑体" w:cs="黑体"/>
                <w:color w:val="auto"/>
                <w:kern w:val="0"/>
                <w:sz w:val="20"/>
                <w:szCs w:val="20"/>
              </w:rPr>
              <w:t>结果</w:t>
            </w:r>
          </w:p>
          <w:p>
            <w:pPr>
              <w:widowControl/>
              <w:ind w:left="-136" w:leftChars="-65" w:right="-124" w:rightChars="-59"/>
              <w:jc w:val="center"/>
              <w:rPr>
                <w:rFonts w:ascii="黑体" w:hAnsi="宋体" w:eastAsia="黑体" w:cs="黑体"/>
                <w:color w:val="auto"/>
              </w:rPr>
            </w:pPr>
            <w:r>
              <w:rPr>
                <w:rFonts w:hint="eastAsia" w:ascii="黑体" w:hAnsi="宋体" w:eastAsia="黑体" w:cs="黑体"/>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宋体" w:eastAsia="黑体" w:cs="黑体"/>
                <w:color w:val="auto"/>
                <w:kern w:val="0"/>
                <w:sz w:val="20"/>
                <w:szCs w:val="20"/>
              </w:rPr>
            </w:pPr>
            <w:r>
              <w:rPr>
                <w:rFonts w:hint="eastAsia" w:ascii="黑体" w:hAnsi="宋体" w:eastAsia="黑体" w:cs="黑体"/>
                <w:color w:val="auto"/>
                <w:kern w:val="0"/>
                <w:sz w:val="20"/>
                <w:szCs w:val="20"/>
              </w:rPr>
              <w:t>其他</w:t>
            </w:r>
          </w:p>
          <w:p>
            <w:pPr>
              <w:widowControl/>
              <w:ind w:left="-173" w:leftChars="-83" w:right="-134" w:rightChars="-64" w:hanging="1"/>
              <w:jc w:val="center"/>
              <w:rPr>
                <w:rFonts w:ascii="黑体" w:hAnsi="宋体" w:eastAsia="黑体" w:cs="黑体"/>
                <w:color w:val="auto"/>
              </w:rPr>
            </w:pPr>
            <w:r>
              <w:rPr>
                <w:rFonts w:hint="eastAsia" w:ascii="黑体" w:hAnsi="宋体" w:eastAsia="黑体" w:cs="黑体"/>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宋体" w:eastAsia="黑体" w:cs="黑体"/>
                <w:color w:val="auto"/>
              </w:rPr>
            </w:pPr>
            <w:r>
              <w:rPr>
                <w:rFonts w:hint="eastAsia" w:ascii="黑体" w:hAnsi="宋体" w:eastAsia="黑体" w:cs="黑体"/>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宋体" w:eastAsia="黑体" w:cs="黑体"/>
                <w:color w:val="auto"/>
              </w:rPr>
            </w:pPr>
            <w:r>
              <w:rPr>
                <w:rFonts w:hint="eastAsia" w:ascii="黑体" w:hAnsi="宋体" w:eastAsia="黑体" w:cs="黑体"/>
                <w:color w:val="auto"/>
                <w:kern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color w:val="auto"/>
              </w:rPr>
            </w:pPr>
            <w:r>
              <w:rPr>
                <w:rFonts w:ascii="Times New Roman" w:hAnsi="Times New Roman"/>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color w:val="auto"/>
              </w:rPr>
            </w:pPr>
            <w:r>
              <w:rPr>
                <w:rFonts w:ascii="Times New Roman" w:hAnsi="Times New Roman"/>
                <w:color w:val="auto"/>
              </w:rPr>
              <w:t>0</w:t>
            </w:r>
          </w:p>
        </w:tc>
      </w:tr>
    </w:tbl>
    <w:p>
      <w:pPr>
        <w:spacing w:line="590" w:lineRule="exact"/>
        <w:ind w:right="-105" w:rightChars="-50"/>
        <w:rPr>
          <w:rFonts w:ascii="方正黑体简体" w:hAnsi="方正黑体简体" w:eastAsia="方正黑体简体" w:cs="方正黑体简体"/>
          <w:b/>
          <w:color w:val="auto"/>
          <w:sz w:val="32"/>
          <w:szCs w:val="32"/>
        </w:rPr>
      </w:pPr>
    </w:p>
    <w:p>
      <w:pPr>
        <w:spacing w:line="590" w:lineRule="exact"/>
        <w:ind w:right="-105" w:rightChars="-50" w:firstLine="642" w:firstLineChars="200"/>
        <w:rPr>
          <w:rFonts w:ascii="方正黑体简体" w:hAnsi="方正黑体简体" w:eastAsia="方正黑体简体" w:cs="方正黑体简体"/>
          <w:b/>
          <w:color w:val="auto"/>
          <w:sz w:val="32"/>
          <w:szCs w:val="32"/>
        </w:rPr>
      </w:pPr>
      <w:r>
        <w:rPr>
          <w:rFonts w:hint="eastAsia" w:ascii="方正黑体简体" w:hAnsi="方正黑体简体" w:eastAsia="方正黑体简体" w:cs="方正黑体简体"/>
          <w:b/>
          <w:color w:val="auto"/>
          <w:sz w:val="32"/>
          <w:szCs w:val="32"/>
        </w:rPr>
        <w:t>五、存在的主要问题及改进情况</w:t>
      </w:r>
    </w:p>
    <w:p>
      <w:pPr>
        <w:spacing w:line="590" w:lineRule="exact"/>
        <w:ind w:right="-105" w:rightChars="-50" w:firstLine="642" w:firstLineChars="200"/>
        <w:rPr>
          <w:rFonts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rPr>
        <w:t>2023年，商务服务部</w:t>
      </w:r>
      <w:r>
        <w:rPr>
          <w:rFonts w:ascii="方正仿宋简体" w:hAnsi="方正仿宋简体" w:eastAsia="方正仿宋简体" w:cs="方正仿宋简体"/>
          <w:b/>
          <w:color w:val="auto"/>
          <w:sz w:val="32"/>
          <w:szCs w:val="32"/>
        </w:rPr>
        <w:t>针对政府信息公开工作中存在的不足有针对性地加以改进，加强了主动公开内容的动态调整，取得</w:t>
      </w:r>
      <w:r>
        <w:rPr>
          <w:rFonts w:hint="eastAsia" w:ascii="方正仿宋简体" w:hAnsi="方正仿宋简体" w:eastAsia="方正仿宋简体" w:cs="方正仿宋简体"/>
          <w:b/>
          <w:color w:val="auto"/>
          <w:sz w:val="32"/>
          <w:szCs w:val="32"/>
        </w:rPr>
        <w:t>一定</w:t>
      </w:r>
      <w:r>
        <w:rPr>
          <w:rFonts w:ascii="方正仿宋简体" w:hAnsi="方正仿宋简体" w:eastAsia="方正仿宋简体" w:cs="方正仿宋简体"/>
          <w:b/>
          <w:color w:val="auto"/>
          <w:sz w:val="32"/>
          <w:szCs w:val="32"/>
        </w:rPr>
        <w:t>成效，</w:t>
      </w:r>
      <w:r>
        <w:rPr>
          <w:rFonts w:hint="eastAsia" w:ascii="方正仿宋简体" w:hAnsi="方正仿宋简体" w:eastAsia="方正仿宋简体" w:cs="方正仿宋简体"/>
          <w:b/>
          <w:color w:val="auto"/>
          <w:sz w:val="32"/>
          <w:szCs w:val="32"/>
        </w:rPr>
        <w:t>但仍存在不足之处：一是对政务公开工作重视不够，对政务公开工作的重要性认识不到位，公开意识和服务意识有待提高。二是公开的方式途径单一，依靠政府网站为主，对抖音、微信和微薄等新媒体手段较少涉猎，对新媒体的认识程度不够。三是解读回应水平有待提升，没有建设独立的平台，解读频率较低，形式单一。针对上述问题，商务服务部将采取以下措施：一是加大对政务公开工作的重视程度，加大对全体人员的学习培训力度，形成学习常态化。二是加大对《条例》解读力度，全面提升政务公开整体水平和全体职工对政务公开工作的认识。三是加大对新媒体的使用频率，建设独立的信息公开平台，开通新媒体炸号，多样化开展信息公开，提升信息公开水平，提高解读频率。</w:t>
      </w:r>
      <w:r>
        <w:rPr>
          <w:rFonts w:ascii="方正仿宋简体" w:hAnsi="方正仿宋简体" w:eastAsia="方正仿宋简体" w:cs="方正仿宋简体"/>
          <w:b/>
          <w:color w:val="auto"/>
          <w:sz w:val="32"/>
          <w:szCs w:val="32"/>
        </w:rPr>
        <w:t>2023年，</w:t>
      </w:r>
      <w:r>
        <w:rPr>
          <w:rFonts w:hint="eastAsia" w:ascii="方正仿宋简体" w:hAnsi="方正仿宋简体" w:eastAsia="方正仿宋简体" w:cs="方正仿宋简体"/>
          <w:b/>
          <w:color w:val="auto"/>
          <w:sz w:val="32"/>
          <w:szCs w:val="32"/>
        </w:rPr>
        <w:t>商务服务部</w:t>
      </w:r>
      <w:r>
        <w:rPr>
          <w:rFonts w:ascii="方正仿宋简体" w:hAnsi="方正仿宋简体" w:eastAsia="方正仿宋简体" w:cs="方正仿宋简体"/>
          <w:b/>
          <w:color w:val="auto"/>
          <w:sz w:val="32"/>
          <w:szCs w:val="32"/>
        </w:rPr>
        <w:t>将认真落实《条例》和相关工作要求，进一步做好政府信息公开工作。</w:t>
      </w:r>
    </w:p>
    <w:p>
      <w:pPr>
        <w:spacing w:line="590" w:lineRule="exact"/>
        <w:ind w:right="-105" w:rightChars="-50" w:firstLine="642" w:firstLineChars="200"/>
        <w:rPr>
          <w:rFonts w:ascii="方正仿宋简体" w:hAnsi="方正仿宋简体" w:eastAsia="方正仿宋简体" w:cs="方正仿宋简体"/>
          <w:b/>
          <w:color w:val="auto"/>
          <w:sz w:val="32"/>
          <w:szCs w:val="32"/>
        </w:rPr>
      </w:pPr>
      <w:r>
        <w:rPr>
          <w:rFonts w:hint="eastAsia" w:ascii="方正黑体简体" w:hAnsi="方正黑体简体" w:eastAsia="方正黑体简体" w:cs="方正黑体简体"/>
          <w:b/>
          <w:color w:val="auto"/>
          <w:sz w:val="32"/>
          <w:szCs w:val="32"/>
        </w:rPr>
        <w:t>六、其他需要报告的事项</w:t>
      </w:r>
    </w:p>
    <w:p>
      <w:pPr>
        <w:spacing w:line="600" w:lineRule="exact"/>
        <w:ind w:right="-105" w:rightChars="-5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（一）依据《政府信息公开信息处理费管理办法》收取信息处理费的情况：</w:t>
      </w:r>
    </w:p>
    <w:p>
      <w:pPr>
        <w:spacing w:line="600" w:lineRule="exact"/>
        <w:ind w:right="-105" w:rightChars="-5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spacing w:line="600" w:lineRule="exact"/>
        <w:ind w:right="-105" w:rightChars="-5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（二）本行政机关其他有关文件专门要求通过年度报告予以报告的事项：</w:t>
      </w:r>
    </w:p>
    <w:p>
      <w:pPr>
        <w:spacing w:line="600" w:lineRule="exact"/>
        <w:ind w:right="-105" w:rightChars="-5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spacing w:line="590" w:lineRule="exact"/>
        <w:ind w:right="-105" w:rightChars="-50"/>
        <w:rPr>
          <w:rFonts w:ascii="方正黑体简体" w:eastAsia="方正黑体简体"/>
          <w:b/>
          <w:color w:val="auto"/>
          <w:sz w:val="32"/>
          <w:szCs w:val="32"/>
        </w:rPr>
      </w:pPr>
    </w:p>
    <w:p>
      <w:pPr>
        <w:spacing w:line="590" w:lineRule="exact"/>
        <w:ind w:right="-105" w:rightChars="-50" w:firstLine="642" w:firstLineChars="200"/>
        <w:rPr>
          <w:rFonts w:ascii="方正仿宋简体" w:eastAsia="方正仿宋简体"/>
          <w:b/>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E5YWM2NWRjZjk2ZDUwN2YxYjE2MjI1ZDg3MGM3ZWYifQ=="/>
  </w:docVars>
  <w:rsids>
    <w:rsidRoot w:val="04092EDC"/>
    <w:rsid w:val="002337C3"/>
    <w:rsid w:val="002C602E"/>
    <w:rsid w:val="00323AAE"/>
    <w:rsid w:val="004344DF"/>
    <w:rsid w:val="00451DC4"/>
    <w:rsid w:val="005D2FE4"/>
    <w:rsid w:val="006C6965"/>
    <w:rsid w:val="007F01C5"/>
    <w:rsid w:val="00826E18"/>
    <w:rsid w:val="0087123B"/>
    <w:rsid w:val="0087365E"/>
    <w:rsid w:val="00A72CF9"/>
    <w:rsid w:val="00D24145"/>
    <w:rsid w:val="00D717E2"/>
    <w:rsid w:val="03FF21FB"/>
    <w:rsid w:val="04092EDC"/>
    <w:rsid w:val="09E74206"/>
    <w:rsid w:val="1CCD2C88"/>
    <w:rsid w:val="22CF2A5C"/>
    <w:rsid w:val="2ED404F5"/>
    <w:rsid w:val="335164C3"/>
    <w:rsid w:val="3C97441D"/>
    <w:rsid w:val="3CA270B2"/>
    <w:rsid w:val="594B67DA"/>
    <w:rsid w:val="64D703D1"/>
    <w:rsid w:val="6BFB3113"/>
    <w:rsid w:val="71330B24"/>
    <w:rsid w:val="7A9DFB6C"/>
    <w:rsid w:val="7DF54B03"/>
    <w:rsid w:val="7F1F8DAD"/>
    <w:rsid w:val="7FAA6348"/>
    <w:rsid w:val="DFFF185A"/>
    <w:rsid w:val="FDD57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sz w:val="24"/>
    </w:rPr>
  </w:style>
  <w:style w:type="character" w:styleId="9">
    <w:name w:val="Strong"/>
    <w:qFormat/>
    <w:uiPriority w:val="0"/>
    <w:rPr>
      <w:b/>
      <w:bCs/>
    </w:rPr>
  </w:style>
  <w:style w:type="character" w:styleId="10">
    <w:name w:val="annotation reference"/>
    <w:basedOn w:val="8"/>
    <w:qFormat/>
    <w:uiPriority w:val="0"/>
    <w:rPr>
      <w:sz w:val="21"/>
      <w:szCs w:val="21"/>
    </w:rPr>
  </w:style>
  <w:style w:type="character" w:customStyle="1" w:styleId="11">
    <w:name w:val="批注框文本 Char"/>
    <w:basedOn w:val="8"/>
    <w:link w:val="3"/>
    <w:qFormat/>
    <w:uiPriority w:val="0"/>
    <w:rPr>
      <w:rFonts w:ascii="Calibri" w:hAnsi="Calibri"/>
      <w:kern w:val="2"/>
      <w:sz w:val="18"/>
      <w:szCs w:val="18"/>
    </w:rPr>
  </w:style>
  <w:style w:type="character" w:customStyle="1" w:styleId="12">
    <w:name w:val="页眉 Char"/>
    <w:basedOn w:val="8"/>
    <w:link w:val="5"/>
    <w:qFormat/>
    <w:uiPriority w:val="0"/>
    <w:rPr>
      <w:rFonts w:ascii="Calibri" w:hAnsi="Calibri"/>
      <w:kern w:val="2"/>
      <w:sz w:val="18"/>
      <w:szCs w:val="18"/>
    </w:rPr>
  </w:style>
  <w:style w:type="character" w:customStyle="1" w:styleId="13">
    <w:name w:val="页脚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Pages>
  <Words>438</Words>
  <Characters>2502</Characters>
  <Lines>20</Lines>
  <Paragraphs>5</Paragraphs>
  <TotalTime>7</TotalTime>
  <ScaleCrop>false</ScaleCrop>
  <LinksUpToDate>false</LinksUpToDate>
  <CharactersWithSpaces>2935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2024-01-23T17:46:00Z</dcterms:created>
  <dc:creator>Administrator</dc:creator>
  <cp:lastModifiedBy>user</cp:lastModifiedBy>
  <dcterms:modified xsi:type="dcterms:W3CDTF">2024-01-23T10:21:09Z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B4318DA90B1C40A4A1A19E2B2F771443_11</vt:lpwstr>
  </property>
</Properties>
</file>