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firstLine="883" w:firstLineChars="200"/>
        <w:rPr>
          <w:rFonts w:ascii="方正小标宋简体" w:eastAsia="方正小标宋简体"/>
          <w:b/>
          <w:color w:val="000000"/>
          <w:sz w:val="44"/>
          <w:szCs w:val="44"/>
        </w:rPr>
      </w:pPr>
      <w:r>
        <w:rPr>
          <w:rFonts w:hint="eastAsia" w:ascii="方正小标宋简体" w:eastAsia="方正小标宋简体"/>
          <w:b/>
          <w:color w:val="000000"/>
          <w:sz w:val="44"/>
          <w:szCs w:val="44"/>
        </w:rPr>
        <w:t>济宁市商贸物流园区管理服务中心</w:t>
      </w:r>
    </w:p>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商务服务部2022年政府信息公开</w:t>
      </w:r>
    </w:p>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spacing w:line="590" w:lineRule="exact"/>
        <w:ind w:right="-105" w:rightChars="-50"/>
        <w:jc w:val="center"/>
        <w:rPr>
          <w:rFonts w:ascii="方正小标宋简体" w:eastAsia="方正小标宋简体"/>
          <w:b/>
          <w:color w:val="000000"/>
          <w:sz w:val="44"/>
          <w:szCs w:val="44"/>
        </w:rPr>
      </w:pPr>
    </w:p>
    <w:p>
      <w:pPr>
        <w:spacing w:line="590" w:lineRule="exact"/>
        <w:ind w:right="-105" w:rightChars="-50" w:firstLine="642"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本报告由济宁市商贸物流园区管理服务中心商务服务部按照《中华人民共和国政府信息公开</w:t>
      </w:r>
      <w:bookmarkStart w:id="0" w:name="_GoBack"/>
      <w:bookmarkEnd w:id="0"/>
      <w:r>
        <w:rPr>
          <w:rFonts w:hint="eastAsia" w:ascii="方正仿宋简体" w:eastAsia="方正仿宋简体"/>
          <w:b/>
          <w:color w:val="000000"/>
          <w:sz w:val="32"/>
          <w:szCs w:val="32"/>
        </w:rPr>
        <w:t>条例》（以下简称《条例》）和《中华人民共和国政府信息公开工作年度报告格式》（国办公开办函〔2021〕30号）要求编制。</w:t>
      </w:r>
    </w:p>
    <w:p>
      <w:pPr>
        <w:spacing w:line="590" w:lineRule="exact"/>
        <w:ind w:right="-105" w:rightChars="-50" w:firstLine="642"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2"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中国·济宁”政府门户网站（具体网址）查阅或下载。如对本报告有疑问，请与济宁市商贸物流园区管理服务中心商务服务部联系（地址：济宁经济开发区麟祥路1号，联系电话：0537-6983889）。</w:t>
      </w:r>
    </w:p>
    <w:p>
      <w:pPr>
        <w:spacing w:line="590" w:lineRule="exact"/>
        <w:ind w:right="-105" w:rightChars="-50" w:firstLine="642"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5" w:rightChars="-50" w:firstLine="642" w:firstLineChars="200"/>
        <w:rPr>
          <w:rFonts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2022年，济宁市商贸物流园区管理服务中心商务服务部深入贯彻落实</w:t>
      </w:r>
      <w:r>
        <w:rPr>
          <w:rFonts w:hint="eastAsia" w:ascii="方正仿宋简体" w:eastAsia="方正仿宋简体"/>
          <w:b/>
          <w:color w:val="000000"/>
          <w:sz w:val="32"/>
          <w:szCs w:val="32"/>
        </w:rPr>
        <w:t>《中华人民共和国政府信息公开条例》（以下简称《条例》）、《中华人民共和国政府信息公开工作年度报告格式》（国办公开办函〔2021〕30号）</w:t>
      </w:r>
      <w:r>
        <w:rPr>
          <w:rFonts w:hint="eastAsia" w:ascii="方正仿宋简体" w:hAnsi="方正仿宋简体" w:eastAsia="方正仿宋简体" w:cs="方正仿宋简体"/>
          <w:b/>
          <w:color w:val="000000"/>
          <w:sz w:val="32"/>
          <w:szCs w:val="32"/>
        </w:rPr>
        <w:t>和国家、省、市关于政务公开工作的系列部署，不断加大公开力度，</w:t>
      </w:r>
      <w:r>
        <w:rPr>
          <w:rFonts w:hint="eastAsia" w:ascii="方正仿宋简体" w:hAnsi="方正仿宋简体" w:eastAsia="方正仿宋简体" w:cs="方正仿宋简体"/>
          <w:b/>
          <w:bCs/>
          <w:color w:val="000000"/>
          <w:sz w:val="32"/>
          <w:szCs w:val="32"/>
        </w:rPr>
        <w:t>主动接受社会公众、企业和各类组织的监督，有力的保障了广大群众的知情权、参与权和监督权，</w:t>
      </w:r>
      <w:r>
        <w:rPr>
          <w:rFonts w:hint="eastAsia" w:ascii="方正仿宋简体" w:hAnsi="方正仿宋简体" w:eastAsia="方正仿宋简体" w:cs="方正仿宋简体"/>
          <w:b/>
          <w:color w:val="000000"/>
          <w:sz w:val="32"/>
          <w:szCs w:val="32"/>
        </w:rPr>
        <w:t>政务公开工作质量稳步提升。</w:t>
      </w:r>
    </w:p>
    <w:p>
      <w:pPr>
        <w:spacing w:line="590" w:lineRule="exact"/>
        <w:ind w:right="-105" w:rightChars="-50" w:firstLine="642" w:firstLineChars="200"/>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（一）主动公开情况</w:t>
      </w:r>
    </w:p>
    <w:p>
      <w:pPr>
        <w:ind w:firstLine="642" w:firstLineChars="200"/>
      </w:pPr>
      <w:r>
        <w:rPr>
          <w:rFonts w:hint="eastAsia" w:ascii="方正仿宋简体" w:eastAsia="方正仿宋简体"/>
          <w:b/>
          <w:sz w:val="32"/>
          <w:szCs w:val="32"/>
        </w:rPr>
        <w:t>今年以来，商务服务部加强组织领导，健全工作机制，结合工作实际，扎实推进政府信息公开工作。</w:t>
      </w:r>
      <w:r>
        <w:rPr>
          <w:rFonts w:hint="eastAsia" w:ascii="方正仿宋简体" w:hAnsi="方正仿宋简体" w:eastAsia="方正仿宋简体" w:cs="方正仿宋简体"/>
          <w:b/>
          <w:color w:val="000000"/>
          <w:sz w:val="32"/>
          <w:szCs w:val="32"/>
        </w:rPr>
        <w:t>充分利用政府网站主动宣传我区商务工作最新动态、工作亮点和经验做法，</w:t>
      </w:r>
    </w:p>
    <w:p>
      <w:r>
        <w:rPr>
          <w:rFonts w:hint="eastAsia" w:ascii="方正仿宋简体" w:hAnsi="方正仿宋简体" w:eastAsia="方正仿宋简体" w:cs="方正仿宋简体"/>
          <w:b/>
          <w:color w:val="000000"/>
          <w:sz w:val="32"/>
          <w:szCs w:val="32"/>
        </w:rPr>
        <w:t>2022年，商务服务部通过网站更新了公开的机构职能信息，包括领导信息、基本信息和主要职责。</w:t>
      </w:r>
    </w:p>
    <w:p>
      <w:pPr>
        <w:spacing w:line="590" w:lineRule="exact"/>
        <w:ind w:right="-105" w:rightChars="-50" w:firstLine="642" w:firstLineChars="200"/>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（二）依申请公开情况</w:t>
      </w:r>
    </w:p>
    <w:p>
      <w:pPr>
        <w:spacing w:line="590" w:lineRule="exact"/>
        <w:ind w:right="-105" w:rightChars="-50" w:firstLine="642" w:firstLineChars="200"/>
        <w:rPr>
          <w:rFonts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无依申请公开信息。</w:t>
      </w:r>
    </w:p>
    <w:p>
      <w:pPr>
        <w:spacing w:line="590" w:lineRule="exact"/>
        <w:ind w:right="-105" w:rightChars="-50" w:firstLine="642" w:firstLineChars="200"/>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（三）政府信息管理情况</w:t>
      </w:r>
    </w:p>
    <w:p>
      <w:pPr>
        <w:spacing w:line="590" w:lineRule="exact"/>
        <w:ind w:right="-105" w:rightChars="-50" w:firstLine="610" w:firstLineChars="200"/>
        <w:rPr>
          <w:rFonts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pacing w:val="-8"/>
          <w:sz w:val="32"/>
          <w:szCs w:val="32"/>
        </w:rPr>
        <w:t>商务服务部高度重视信息管理工作，成立政务公开领导小组，明确了政务公开分管领导、负责科室和工作人员，制定实施方案，和工作计划，并认真组织实施。严格遵守“先审查、后公开”原则，完善公开审查流程，建立完善逐级审查制度。</w:t>
      </w:r>
    </w:p>
    <w:p>
      <w:pPr>
        <w:spacing w:line="590" w:lineRule="exact"/>
        <w:ind w:right="-105" w:rightChars="-50" w:firstLine="642" w:firstLineChars="200"/>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（四）政府信息公开平台建设情况</w:t>
      </w:r>
    </w:p>
    <w:p>
      <w:pPr>
        <w:spacing w:line="590" w:lineRule="exact"/>
        <w:ind w:right="-105" w:rightChars="-50" w:firstLine="642"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2022年，通过济宁经济技术开发区政府网站政府信息公开专栏发布机构职能信息。</w:t>
      </w:r>
    </w:p>
    <w:p>
      <w:pPr>
        <w:spacing w:line="590" w:lineRule="exact"/>
        <w:ind w:right="-105" w:rightChars="-50" w:firstLine="642" w:firstLineChars="200"/>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（五）监督保障情况</w:t>
      </w:r>
    </w:p>
    <w:p>
      <w:pPr>
        <w:spacing w:line="576" w:lineRule="exact"/>
        <w:ind w:firstLine="642" w:firstLineChars="200"/>
        <w:rPr>
          <w:rFonts w:ascii="方正仿宋简体" w:eastAsia="方正仿宋简体"/>
          <w:b/>
          <w:sz w:val="32"/>
          <w:szCs w:val="32"/>
        </w:rPr>
      </w:pPr>
      <w:r>
        <w:rPr>
          <w:rFonts w:hint="eastAsia" w:ascii="方正仿宋简体" w:hAnsi="方正仿宋简体" w:eastAsia="方正仿宋简体" w:cs="方正仿宋简体"/>
          <w:b/>
          <w:color w:val="000000"/>
          <w:sz w:val="32"/>
          <w:szCs w:val="32"/>
        </w:rPr>
        <w:t>重点解读《2022年度政务公开评估指标体系》及有关考核工作要求，确保各项评估指标全部按照规范格式公开到位，做到应公开事项全部公开。</w:t>
      </w:r>
      <w:r>
        <w:rPr>
          <w:rFonts w:hint="eastAsia" w:ascii="方正仿宋简体" w:eastAsia="方正仿宋简体"/>
          <w:b/>
          <w:sz w:val="32"/>
          <w:szCs w:val="32"/>
        </w:rPr>
        <w:t>制定完善信息公开保密审查制度，并结合部门职能，对已公开信息，特别是涉及人民群众切身利益的政府信息进行了全面、认真、细致地清查，充分确保“涉密信息不公开，公开信息不涉密”。</w:t>
      </w:r>
      <w:r>
        <w:rPr>
          <w:rFonts w:hint="eastAsia" w:ascii="方正仿宋简体" w:hAnsi="方正仿宋简体" w:eastAsia="方正仿宋简体" w:cs="方正仿宋简体"/>
          <w:b/>
          <w:color w:val="000000"/>
          <w:sz w:val="32"/>
          <w:szCs w:val="32"/>
        </w:rPr>
        <w:t xml:space="preserve"> </w:t>
      </w:r>
    </w:p>
    <w:p>
      <w:pPr>
        <w:spacing w:line="590" w:lineRule="exact"/>
        <w:ind w:right="-105" w:rightChars="-50" w:firstLine="642"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vAlign w:val="center"/>
          </w:tcPr>
          <w:p>
            <w:pPr>
              <w:widowControl/>
              <w:jc w:val="center"/>
              <w:rPr>
                <w:rFonts w:ascii="仿宋_GB2312" w:eastAsia="仿宋_GB2312" w:cs="Calibri"/>
                <w:kern w:val="0"/>
                <w:szCs w:val="21"/>
              </w:rPr>
            </w:pPr>
            <w:r>
              <w:rPr>
                <w:rFonts w:hint="eastAsia" w:ascii="仿宋_GB2312" w:eastAsia="仿宋_GB2312" w:cs="Calibri"/>
                <w:kern w:val="0"/>
                <w:szCs w:val="21"/>
              </w:rPr>
              <w:t>0</w:t>
            </w:r>
          </w:p>
        </w:tc>
      </w:tr>
      <w:tr>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vAlign w:val="center"/>
          </w:tcPr>
          <w:p>
            <w:pPr>
              <w:widowControl/>
              <w:jc w:val="left"/>
              <w:rPr>
                <w:rFonts w:ascii="仿宋_GB2312" w:eastAsia="仿宋_GB2312" w:cs="Calibri"/>
                <w:color w:val="000000"/>
                <w:kern w:val="0"/>
                <w:szCs w:val="21"/>
              </w:rPr>
            </w:pPr>
            <w:r>
              <w:rPr>
                <w:rFonts w:hint="eastAsia" w:ascii="仿宋_GB2312" w:eastAsia="仿宋_GB2312" w:cs="Calibri"/>
                <w:kern w:val="0"/>
                <w:szCs w:val="21"/>
              </w:rPr>
              <w:t>0</w:t>
            </w:r>
          </w:p>
        </w:tc>
      </w:tr>
      <w:tr>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vAlign w:val="center"/>
          </w:tcPr>
          <w:p>
            <w:pPr>
              <w:widowControl/>
              <w:jc w:val="left"/>
              <w:rPr>
                <w:rFonts w:ascii="仿宋_GB2312" w:eastAsia="仿宋_GB2312" w:cs="Calibri"/>
                <w:kern w:val="0"/>
                <w:szCs w:val="21"/>
              </w:rPr>
            </w:pPr>
            <w:r>
              <w:rPr>
                <w:rFonts w:hint="eastAsia" w:ascii="仿宋_GB2312" w:eastAsia="仿宋_GB2312" w:cs="Calibri"/>
                <w:kern w:val="0"/>
                <w:szCs w:val="21"/>
              </w:rPr>
              <w:t>　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vAlign w:val="center"/>
          </w:tcPr>
          <w:p>
            <w:pPr>
              <w:widowControl/>
              <w:jc w:val="left"/>
              <w:rPr>
                <w:rFonts w:ascii="仿宋_GB2312" w:eastAsia="仿宋_GB2312" w:cs="Calibri"/>
                <w:kern w:val="0"/>
                <w:szCs w:val="21"/>
              </w:rPr>
            </w:pPr>
            <w:r>
              <w:rPr>
                <w:rFonts w:hint="eastAsia" w:ascii="仿宋_GB2312" w:eastAsia="仿宋_GB2312" w:cs="Calibri"/>
                <w:kern w:val="0"/>
                <w:szCs w:val="21"/>
              </w:rPr>
              <w:t>　0</w:t>
            </w:r>
          </w:p>
        </w:tc>
      </w:tr>
      <w:tr>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rPr>
          <w:trHeight w:val="567" w:hRule="atLeast"/>
        </w:trPr>
        <w:tc>
          <w:tcPr>
            <w:tcW w:w="2206"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vAlign w:val="center"/>
          </w:tcPr>
          <w:p>
            <w:pPr>
              <w:widowControl/>
              <w:jc w:val="left"/>
              <w:rPr>
                <w:rFonts w:ascii="仿宋_GB2312" w:eastAsia="仿宋_GB2312" w:cs="Calibri"/>
                <w:color w:val="000000"/>
                <w:kern w:val="0"/>
                <w:szCs w:val="21"/>
              </w:rPr>
            </w:pPr>
            <w:r>
              <w:rPr>
                <w:rFonts w:hint="eastAsia" w:ascii="仿宋_GB2312" w:eastAsia="仿宋_GB2312" w:cs="Calibri"/>
                <w:kern w:val="0"/>
                <w:szCs w:val="21"/>
              </w:rPr>
              <w:t>0</w:t>
            </w:r>
          </w:p>
        </w:tc>
      </w:tr>
    </w:tbl>
    <w:p>
      <w:pPr>
        <w:spacing w:beforeLines="10" w:afterLines="10" w:line="600" w:lineRule="exact"/>
        <w:ind w:firstLine="642" w:firstLineChars="200"/>
        <w:rPr>
          <w:rFonts w:ascii="方正黑体简体" w:eastAsia="方正黑体简体"/>
          <w:b/>
          <w:sz w:val="32"/>
          <w:szCs w:val="32"/>
        </w:rPr>
      </w:pPr>
    </w:p>
    <w:p>
      <w:pPr>
        <w:spacing w:beforeLines="10" w:afterLines="10" w:line="600" w:lineRule="exact"/>
        <w:ind w:firstLine="642"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2"/>
        <w:gridCol w:w="751"/>
        <w:gridCol w:w="540"/>
        <w:gridCol w:w="545"/>
        <w:gridCol w:w="719"/>
        <w:gridCol w:w="674"/>
        <w:gridCol w:w="526"/>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7"/>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5093" w:type="dxa"/>
            <w:gridSpan w:val="3"/>
            <w:vMerge w:val="continue"/>
            <w:tcMar>
              <w:left w:w="108" w:type="dxa"/>
              <w:right w:w="108" w:type="dxa"/>
            </w:tcMar>
            <w:vAlign w:val="center"/>
          </w:tcPr>
          <w:p>
            <w:pPr>
              <w:jc w:val="center"/>
              <w:rPr>
                <w:rFonts w:ascii="仿宋_GB2312" w:hAnsi="Times New Roman" w:eastAsia="仿宋_GB2312"/>
                <w:szCs w:val="21"/>
              </w:rPr>
            </w:pPr>
          </w:p>
        </w:tc>
        <w:tc>
          <w:tcPr>
            <w:tcW w:w="747" w:type="dxa"/>
            <w:vMerge w:val="restart"/>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5"/>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tcMar>
              <w:left w:w="108" w:type="dxa"/>
              <w:right w:w="108" w:type="dxa"/>
            </w:tcMar>
            <w:vAlign w:val="center"/>
          </w:tcPr>
          <w:p>
            <w:pPr>
              <w:jc w:val="center"/>
              <w:rPr>
                <w:rFonts w:ascii="仿宋_GB2312" w:hAnsi="Times New Roman" w:eastAsia="仿宋_GB2312"/>
                <w:szCs w:val="21"/>
              </w:rPr>
            </w:pPr>
          </w:p>
        </w:tc>
        <w:tc>
          <w:tcPr>
            <w:tcW w:w="747" w:type="dxa"/>
            <w:vMerge w:val="continue"/>
            <w:tcMar>
              <w:left w:w="108" w:type="dxa"/>
              <w:right w:w="108" w:type="dxa"/>
            </w:tcMar>
            <w:vAlign w:val="center"/>
          </w:tcPr>
          <w:p>
            <w:pPr>
              <w:jc w:val="center"/>
              <w:rPr>
                <w:rFonts w:ascii="黑体" w:hAnsi="黑体" w:eastAsia="黑体"/>
                <w:szCs w:val="21"/>
              </w:rPr>
            </w:pPr>
          </w:p>
        </w:tc>
        <w:tc>
          <w:tcPr>
            <w:tcW w:w="540" w:type="dxa"/>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 w:hRule="atLeast"/>
          <w:jc w:val="center"/>
        </w:trPr>
        <w:tc>
          <w:tcPr>
            <w:tcW w:w="5093" w:type="dxa"/>
            <w:gridSpan w:val="3"/>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一、本年新收政府信息公开申请数量</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3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3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3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4677" w:type="dxa"/>
            <w:gridSpan w:val="2"/>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（二）部分公开（区分处理的，只计这一情形，不计其他情形）</w:t>
            </w:r>
          </w:p>
        </w:tc>
        <w:tc>
          <w:tcPr>
            <w:tcW w:w="75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3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6"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2.其他法律行政法规禁止公开</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4.保护第三方合法权益</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6.属于四类过程性信息</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8.属于行政查询事项</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ind w:left="-107" w:leftChars="-51"/>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2.没有现成信息需要另行制作</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ind w:left="-107" w:leftChars="-51"/>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3.补正后申请内容仍不明确</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1.信访举报投诉类申请</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widowControl/>
              <w:spacing w:line="300" w:lineRule="exact"/>
              <w:rPr>
                <w:rFonts w:ascii="黑体" w:hAnsi="黑体" w:eastAsia="黑体"/>
                <w:kern w:val="0"/>
                <w:szCs w:val="21"/>
              </w:rPr>
            </w:pPr>
          </w:p>
        </w:tc>
        <w:tc>
          <w:tcPr>
            <w:tcW w:w="2976" w:type="dxa"/>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widowControl/>
              <w:spacing w:line="300" w:lineRule="exact"/>
              <w:rPr>
                <w:rFonts w:ascii="黑体" w:hAnsi="黑体" w:eastAsia="黑体"/>
                <w:kern w:val="0"/>
                <w:szCs w:val="21"/>
              </w:rPr>
            </w:pPr>
          </w:p>
        </w:tc>
        <w:tc>
          <w:tcPr>
            <w:tcW w:w="2976" w:type="dxa"/>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4677" w:type="dxa"/>
            <w:gridSpan w:val="2"/>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2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7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25"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0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bl>
    <w:p>
      <w:pPr>
        <w:spacing w:line="590" w:lineRule="exact"/>
        <w:ind w:right="-105" w:rightChars="-50" w:firstLine="642" w:firstLineChars="200"/>
        <w:rPr>
          <w:rFonts w:ascii="方正黑体简体" w:eastAsia="方正黑体简体"/>
          <w:b/>
          <w:sz w:val="32"/>
          <w:szCs w:val="32"/>
        </w:rPr>
      </w:pPr>
    </w:p>
    <w:p>
      <w:pPr>
        <w:spacing w:line="590" w:lineRule="exact"/>
        <w:ind w:right="-105" w:rightChars="-50" w:firstLine="642"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r>
    </w:tbl>
    <w:p>
      <w:pPr>
        <w:spacing w:line="590" w:lineRule="exact"/>
        <w:ind w:right="-105" w:rightChars="-50" w:firstLine="642"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76" w:lineRule="exact"/>
        <w:ind w:firstLine="642"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2022年，商务服务部</w:t>
      </w:r>
      <w:r>
        <w:rPr>
          <w:rFonts w:hint="eastAsia" w:ascii="方正仿宋简体" w:eastAsia="方正仿宋简体"/>
          <w:b/>
          <w:sz w:val="32"/>
          <w:szCs w:val="32"/>
        </w:rPr>
        <w:t>认真贯彻落实《条例》要求，在信息公开方面取得了一定成绩，但仍存在不足，主要表现在公开的方式途径不够广泛；公开形式的便民性需要进一步提高；人员相对短缺，与新形势、新任务不相适应。</w:t>
      </w:r>
      <w:r>
        <w:rPr>
          <w:rFonts w:hint="eastAsia" w:ascii="方正仿宋简体" w:hAnsi="方正仿宋简体" w:eastAsia="方正仿宋简体" w:cs="方正仿宋简体"/>
          <w:b/>
          <w:sz w:val="32"/>
          <w:szCs w:val="32"/>
        </w:rPr>
        <w:t>针对上述问题，商务服务部将采取以下措施：</w:t>
      </w:r>
      <w:r>
        <w:rPr>
          <w:rFonts w:ascii="方正仿宋简体" w:hAnsi="方正仿宋简体" w:eastAsia="方正仿宋简体" w:cs="方正仿宋简体"/>
          <w:b/>
          <w:sz w:val="32"/>
          <w:szCs w:val="32"/>
        </w:rPr>
        <w:t>一是加强网站平台建设。</w:t>
      </w:r>
      <w:r>
        <w:rPr>
          <w:rFonts w:hint="eastAsia" w:ascii="方正仿宋简体" w:hAnsi="方正仿宋简体" w:eastAsia="方正仿宋简体" w:cs="方正仿宋简体"/>
          <w:b/>
          <w:sz w:val="32"/>
          <w:szCs w:val="32"/>
        </w:rPr>
        <w:t>不断完善网站内容，增强互动功能，主动接受公众建言献策和情况反映，提升社会关注度高、与公众利益密切相关信息的公开度。二是拓宽公开的方式途径。主动加强与各大门户网站、电视台、报社等新闻媒体的互联互通、资源共享，增强宣传报道力度，利用新媒体加大公开的力度和影响力。三是增强人员与工作的黏性，提升人员和业务的匹配度，确保此项工作深入、持续、高效地开展。</w:t>
      </w:r>
    </w:p>
    <w:p>
      <w:pPr>
        <w:spacing w:line="590" w:lineRule="exact"/>
        <w:ind w:right="-105" w:rightChars="-50" w:firstLine="642" w:firstLineChars="200"/>
        <w:rPr>
          <w:rFonts w:ascii="方正仿宋简体" w:eastAsia="方正仿宋简体"/>
          <w:b/>
          <w:sz w:val="32"/>
          <w:szCs w:val="32"/>
        </w:rPr>
      </w:pPr>
      <w:r>
        <w:rPr>
          <w:rFonts w:hint="eastAsia" w:ascii="方正黑体简体" w:eastAsia="方正黑体简体"/>
          <w:b/>
          <w:sz w:val="32"/>
          <w:szCs w:val="32"/>
        </w:rPr>
        <w:t>六、其他需要报告的事项</w:t>
      </w:r>
    </w:p>
    <w:p>
      <w:pPr>
        <w:spacing w:line="576" w:lineRule="exact"/>
        <w:ind w:firstLine="642"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1.依据《政府信息公开信息处理费管理办法》收取信息处理费的情况</w:t>
      </w:r>
    </w:p>
    <w:p>
      <w:pPr>
        <w:spacing w:line="576" w:lineRule="exact"/>
        <w:ind w:firstLine="642" w:firstLineChars="200"/>
        <w:rPr>
          <w:rFonts w:hint="eastAsia" w:ascii="方正仿宋简体" w:hAnsi="方正仿宋简体" w:eastAsia="方正仿宋简体" w:cs="方正仿宋简体"/>
          <w:b/>
          <w:sz w:val="32"/>
          <w:szCs w:val="32"/>
          <w:lang w:eastAsia="zh-CN"/>
        </w:rPr>
      </w:pPr>
      <w:r>
        <w:rPr>
          <w:rFonts w:hint="eastAsia" w:ascii="方正仿宋简体" w:hAnsi="方正仿宋简体" w:eastAsia="方正仿宋简体" w:cs="方正仿宋简体"/>
          <w:b/>
          <w:sz w:val="32"/>
          <w:szCs w:val="32"/>
          <w:lang w:eastAsia="zh-CN"/>
        </w:rPr>
        <w:t>无</w:t>
      </w:r>
    </w:p>
    <w:p>
      <w:pPr>
        <w:spacing w:line="576" w:lineRule="exact"/>
        <w:ind w:firstLine="642"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2.本行政机关落实上级年度政务公开工作要点情况</w:t>
      </w:r>
    </w:p>
    <w:p>
      <w:pPr>
        <w:spacing w:line="576" w:lineRule="exact"/>
        <w:ind w:firstLine="642" w:firstLineChars="200"/>
        <w:rPr>
          <w:rFonts w:hint="eastAsia" w:ascii="方正仿宋简体" w:hAnsi="方正仿宋简体" w:eastAsia="方正仿宋简体" w:cs="方正仿宋简体"/>
          <w:b/>
          <w:sz w:val="32"/>
          <w:szCs w:val="32"/>
          <w:lang w:eastAsia="zh-CN"/>
        </w:rPr>
      </w:pPr>
      <w:r>
        <w:rPr>
          <w:rFonts w:hint="eastAsia" w:ascii="方正仿宋简体" w:hAnsi="方正仿宋简体" w:eastAsia="方正仿宋简体" w:cs="方正仿宋简体"/>
          <w:b/>
          <w:sz w:val="32"/>
          <w:szCs w:val="32"/>
          <w:lang w:eastAsia="zh-CN"/>
        </w:rPr>
        <w:t>无</w:t>
      </w:r>
    </w:p>
    <w:p>
      <w:pPr>
        <w:spacing w:line="576" w:lineRule="exact"/>
        <w:ind w:firstLine="642"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3.本行政机关人大代表建议和政协提案办理结果公开情况</w:t>
      </w:r>
    </w:p>
    <w:p>
      <w:pPr>
        <w:spacing w:line="576" w:lineRule="exact"/>
        <w:ind w:firstLine="642" w:firstLineChars="200"/>
        <w:rPr>
          <w:rFonts w:hint="eastAsia" w:ascii="方正仿宋简体" w:hAnsi="方正仿宋简体" w:eastAsia="方正仿宋简体" w:cs="方正仿宋简体"/>
          <w:b/>
          <w:sz w:val="32"/>
          <w:szCs w:val="32"/>
          <w:lang w:eastAsia="zh-CN"/>
        </w:rPr>
      </w:pPr>
      <w:r>
        <w:rPr>
          <w:rFonts w:hint="eastAsia" w:ascii="方正仿宋简体" w:hAnsi="方正仿宋简体" w:eastAsia="方正仿宋简体" w:cs="方正仿宋简体"/>
          <w:b/>
          <w:sz w:val="32"/>
          <w:szCs w:val="32"/>
          <w:lang w:eastAsia="zh-CN"/>
        </w:rPr>
        <w:t>无</w:t>
      </w:r>
    </w:p>
    <w:p>
      <w:pPr>
        <w:spacing w:line="576" w:lineRule="exact"/>
        <w:ind w:firstLine="642"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4.本行政机关年度政务公开工作创新情况</w:t>
      </w:r>
    </w:p>
    <w:p>
      <w:pPr>
        <w:spacing w:line="590" w:lineRule="exact"/>
        <w:ind w:right="-105" w:rightChars="-50" w:firstLine="622" w:firstLineChars="200"/>
        <w:rPr>
          <w:rFonts w:hint="eastAsia" w:ascii="方正仿宋简体" w:hAnsi="方正仿宋简体" w:eastAsia="方正仿宋简体" w:cs="方正仿宋简体"/>
          <w:b/>
          <w:bCs/>
          <w:color w:val="333333"/>
          <w:sz w:val="31"/>
          <w:szCs w:val="31"/>
          <w:shd w:val="clear" w:color="auto" w:fill="FFFFFF"/>
          <w:lang w:eastAsia="zh-CN"/>
        </w:rPr>
      </w:pPr>
      <w:r>
        <w:rPr>
          <w:rFonts w:hint="eastAsia" w:ascii="方正仿宋简体" w:hAnsi="方正仿宋简体" w:eastAsia="方正仿宋简体" w:cs="方正仿宋简体"/>
          <w:b/>
          <w:bCs/>
          <w:color w:val="333333"/>
          <w:sz w:val="31"/>
          <w:szCs w:val="31"/>
          <w:shd w:val="clear" w:color="auto" w:fill="FFFFFF"/>
          <w:lang w:eastAsia="zh-CN"/>
        </w:rPr>
        <w:t>无</w:t>
      </w:r>
    </w:p>
    <w:p>
      <w:pPr>
        <w:spacing w:line="590" w:lineRule="exact"/>
        <w:ind w:right="-105" w:rightChars="-50" w:firstLine="622" w:firstLineChars="200"/>
        <w:rPr>
          <w:rFonts w:ascii="方正仿宋简体" w:hAnsi="方正仿宋简体" w:eastAsia="方正仿宋简体" w:cs="方正仿宋简体"/>
          <w:b/>
          <w:bCs/>
          <w:color w:val="333333"/>
          <w:sz w:val="31"/>
          <w:szCs w:val="31"/>
          <w:shd w:val="clear" w:color="auto" w:fill="FFFFFF"/>
        </w:rPr>
      </w:pPr>
    </w:p>
    <w:p>
      <w:pPr>
        <w:spacing w:line="590" w:lineRule="exact"/>
        <w:ind w:right="-105" w:rightChars="-50" w:firstLine="622" w:firstLineChars="200"/>
        <w:rPr>
          <w:rFonts w:hint="eastAsia" w:ascii="方正仿宋简体" w:hAnsi="方正仿宋简体" w:eastAsia="方正仿宋简体" w:cs="方正仿宋简体"/>
          <w:b/>
          <w:bCs/>
          <w:color w:val="333333"/>
          <w:sz w:val="31"/>
          <w:szCs w:val="31"/>
          <w:shd w:val="clear" w:color="auto" w:fill="FFFFFF"/>
        </w:rPr>
      </w:pPr>
    </w:p>
    <w:p>
      <w:pPr>
        <w:spacing w:line="590" w:lineRule="exact"/>
        <w:ind w:right="-105" w:rightChars="-50" w:firstLine="622" w:firstLineChars="200"/>
        <w:rPr>
          <w:rFonts w:hint="eastAsia" w:ascii="方正仿宋简体" w:hAnsi="方正仿宋简体" w:eastAsia="方正仿宋简体" w:cs="方正仿宋简体"/>
          <w:b/>
          <w:bCs/>
          <w:color w:val="333333"/>
          <w:sz w:val="31"/>
          <w:szCs w:val="31"/>
          <w:shd w:val="clear" w:color="auto" w:fill="FFFFFF"/>
        </w:rPr>
      </w:pPr>
    </w:p>
    <w:p>
      <w:pPr>
        <w:spacing w:line="590" w:lineRule="exact"/>
        <w:ind w:right="-105" w:rightChars="-50" w:firstLine="622" w:firstLineChars="200"/>
        <w:rPr>
          <w:rFonts w:ascii="方正仿宋简体" w:hAnsi="方正仿宋简体" w:eastAsia="方正仿宋简体" w:cs="方正仿宋简体"/>
          <w:b/>
          <w:bCs/>
          <w:color w:val="333333"/>
          <w:sz w:val="31"/>
          <w:szCs w:val="31"/>
          <w:shd w:val="clear" w:color="auto" w:fill="FFFFFF"/>
        </w:rPr>
      </w:pPr>
    </w:p>
    <w:p>
      <w:pPr>
        <w:spacing w:line="590" w:lineRule="exact"/>
        <w:ind w:right="-105" w:rightChars="-50"/>
        <w:rPr>
          <w:rFonts w:ascii="方正仿宋简体" w:hAnsi="方正仿宋简体" w:eastAsia="方正仿宋简体" w:cs="方正仿宋简体"/>
          <w:b/>
          <w:bCs/>
          <w:color w:val="333333"/>
          <w:sz w:val="31"/>
          <w:szCs w:val="31"/>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ZDE5YWM2NWRjZjk2ZDUwN2YxYjE2MjI1ZDg3MGM3ZWYifQ=="/>
  </w:docVars>
  <w:rsids>
    <w:rsidRoot w:val="558B0791"/>
    <w:rsid w:val="000D445A"/>
    <w:rsid w:val="00182593"/>
    <w:rsid w:val="002A001C"/>
    <w:rsid w:val="00337AE7"/>
    <w:rsid w:val="00340D46"/>
    <w:rsid w:val="003A14C5"/>
    <w:rsid w:val="003B01B4"/>
    <w:rsid w:val="00406738"/>
    <w:rsid w:val="00440CFF"/>
    <w:rsid w:val="004B0B2D"/>
    <w:rsid w:val="005343A7"/>
    <w:rsid w:val="005F7792"/>
    <w:rsid w:val="00A25904"/>
    <w:rsid w:val="00A521C9"/>
    <w:rsid w:val="00A90C9B"/>
    <w:rsid w:val="00AC3FC2"/>
    <w:rsid w:val="00AC6611"/>
    <w:rsid w:val="00AF1E3E"/>
    <w:rsid w:val="00B25039"/>
    <w:rsid w:val="00B255EF"/>
    <w:rsid w:val="00C150CE"/>
    <w:rsid w:val="00C3797D"/>
    <w:rsid w:val="00C906E3"/>
    <w:rsid w:val="00D311A8"/>
    <w:rsid w:val="00E67D2F"/>
    <w:rsid w:val="1F2A1349"/>
    <w:rsid w:val="2CD94B09"/>
    <w:rsid w:val="2EC5549A"/>
    <w:rsid w:val="38217529"/>
    <w:rsid w:val="3D434398"/>
    <w:rsid w:val="46E60B9C"/>
    <w:rsid w:val="498876FC"/>
    <w:rsid w:val="558B0791"/>
    <w:rsid w:val="5C3969A7"/>
    <w:rsid w:val="5EEF269D"/>
    <w:rsid w:val="69CE6E20"/>
    <w:rsid w:val="6EDD18B4"/>
    <w:rsid w:val="71D4549F"/>
    <w:rsid w:val="7E7F3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rPr>
  </w:style>
  <w:style w:type="character" w:styleId="7">
    <w:name w:val="Strong"/>
    <w:qFormat/>
    <w:uiPriority w:val="0"/>
    <w:rPr>
      <w:b/>
      <w:bCs/>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Pages>
  <Words>2301</Words>
  <Characters>2369</Characters>
  <Lines>27</Lines>
  <Paragraphs>7</Paragraphs>
  <TotalTime>42</TotalTime>
  <ScaleCrop>false</ScaleCrop>
  <LinksUpToDate>false</LinksUpToDate>
  <CharactersWithSpaces>2372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2023-02-08T11:33:00Z</dcterms:created>
  <dc:creator>Administrator</dc:creator>
  <cp:lastModifiedBy>user</cp:lastModifiedBy>
  <dcterms:modified xsi:type="dcterms:W3CDTF">2023-02-09T08:49:49Z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C27BCD0125694DCA900370D8AF79622A</vt:lpwstr>
  </property>
</Properties>
</file>