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9F" w:rsidRPr="007B0D9F" w:rsidRDefault="007B0D9F" w:rsidP="007B0D9F">
      <w:pPr>
        <w:widowControl/>
        <w:shd w:val="clear" w:color="auto" w:fill="FFFFFF"/>
        <w:spacing w:line="675" w:lineRule="atLeast"/>
        <w:jc w:val="center"/>
        <w:outlineLvl w:val="2"/>
        <w:rPr>
          <w:rFonts w:ascii="inherit" w:eastAsia="微软雅黑" w:hAnsi="inherit" w:cs="宋体"/>
          <w:color w:val="333333"/>
          <w:kern w:val="0"/>
          <w:sz w:val="36"/>
          <w:szCs w:val="36"/>
        </w:rPr>
      </w:pPr>
      <w:r w:rsidRPr="007B0D9F">
        <w:rPr>
          <w:rFonts w:ascii="inherit" w:eastAsia="微软雅黑" w:hAnsi="inherit" w:cs="宋体"/>
          <w:color w:val="333333"/>
          <w:kern w:val="0"/>
          <w:sz w:val="36"/>
          <w:szCs w:val="36"/>
        </w:rPr>
        <w:t>关于印发《山东省创新券使用管理办法》的通知</w:t>
      </w:r>
    </w:p>
    <w:p w:rsidR="007B0D9F" w:rsidRDefault="007B0D9F" w:rsidP="007B0D9F">
      <w:pPr>
        <w:widowControl/>
        <w:shd w:val="clear" w:color="auto" w:fill="FFFFFF"/>
        <w:spacing w:after="150"/>
        <w:jc w:val="center"/>
        <w:rPr>
          <w:rFonts w:ascii="宋体" w:eastAsia="宋体" w:hAnsi="宋体" w:cs="宋体" w:hint="eastAsia"/>
          <w:color w:val="333333"/>
          <w:kern w:val="0"/>
          <w:sz w:val="24"/>
          <w:szCs w:val="24"/>
        </w:rPr>
      </w:pPr>
    </w:p>
    <w:p w:rsidR="007B0D9F" w:rsidRPr="007B0D9F" w:rsidRDefault="007B0D9F" w:rsidP="007B0D9F">
      <w:pPr>
        <w:widowControl/>
        <w:shd w:val="clear" w:color="auto" w:fill="FFFFFF"/>
        <w:spacing w:after="150"/>
        <w:jc w:val="center"/>
        <w:rPr>
          <w:rFonts w:ascii="宋体" w:eastAsia="宋体" w:hAnsi="宋体" w:cs="宋体" w:hint="eastAsia"/>
          <w:color w:val="333333"/>
          <w:kern w:val="0"/>
          <w:sz w:val="24"/>
          <w:szCs w:val="24"/>
        </w:rPr>
      </w:pPr>
      <w:bookmarkStart w:id="0" w:name="_GoBack"/>
      <w:bookmarkEnd w:id="0"/>
      <w:r w:rsidRPr="007B0D9F">
        <w:rPr>
          <w:rFonts w:ascii="宋体" w:eastAsia="宋体" w:hAnsi="宋体" w:cs="宋体"/>
          <w:color w:val="333333"/>
          <w:kern w:val="0"/>
          <w:sz w:val="24"/>
          <w:szCs w:val="24"/>
        </w:rPr>
        <w:t>鲁科字〔2022〕123号</w:t>
      </w:r>
    </w:p>
    <w:p w:rsidR="007B0D9F" w:rsidRPr="007B0D9F" w:rsidRDefault="007B0D9F" w:rsidP="007B0D9F">
      <w:pPr>
        <w:widowControl/>
        <w:shd w:val="clear" w:color="auto" w:fill="FFFFFF"/>
        <w:spacing w:after="15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各市科技局、财政局，各有关单位：</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为进一步促进科研设施和科研仪器等科技资源开放共享，增强创新活力，激发创新潜能，提高科技创新水平，支撑经济高质量发展，省科技厅、省财政厅联合制定了《山东省创新券使用管理办法》。现印发给你们，请认真贯彻执行。</w:t>
      </w:r>
    </w:p>
    <w:p w:rsidR="007B0D9F" w:rsidRPr="007B0D9F" w:rsidRDefault="007B0D9F" w:rsidP="007B0D9F">
      <w:pPr>
        <w:widowControl/>
        <w:shd w:val="clear" w:color="auto" w:fill="FFFFFF"/>
        <w:spacing w:after="150"/>
        <w:jc w:val="right"/>
        <w:rPr>
          <w:rFonts w:ascii="宋体" w:eastAsia="宋体" w:hAnsi="宋体" w:cs="宋体"/>
          <w:color w:val="333333"/>
          <w:kern w:val="0"/>
          <w:sz w:val="24"/>
          <w:szCs w:val="24"/>
        </w:rPr>
      </w:pPr>
      <w:r w:rsidRPr="007B0D9F">
        <w:rPr>
          <w:rFonts w:ascii="宋体" w:eastAsia="宋体" w:hAnsi="宋体" w:cs="宋体"/>
          <w:color w:val="333333"/>
          <w:kern w:val="0"/>
          <w:sz w:val="24"/>
          <w:szCs w:val="24"/>
        </w:rPr>
        <w:t>山东省科学技术厅</w:t>
      </w:r>
    </w:p>
    <w:p w:rsidR="007B0D9F" w:rsidRPr="007B0D9F" w:rsidRDefault="007B0D9F" w:rsidP="007B0D9F">
      <w:pPr>
        <w:widowControl/>
        <w:shd w:val="clear" w:color="auto" w:fill="FFFFFF"/>
        <w:spacing w:after="150"/>
        <w:jc w:val="right"/>
        <w:rPr>
          <w:rFonts w:ascii="宋体" w:eastAsia="宋体" w:hAnsi="宋体" w:cs="宋体"/>
          <w:color w:val="333333"/>
          <w:kern w:val="0"/>
          <w:sz w:val="24"/>
          <w:szCs w:val="24"/>
        </w:rPr>
      </w:pPr>
      <w:r w:rsidRPr="007B0D9F">
        <w:rPr>
          <w:rFonts w:ascii="宋体" w:eastAsia="宋体" w:hAnsi="宋体" w:cs="宋体"/>
          <w:color w:val="333333"/>
          <w:kern w:val="0"/>
          <w:sz w:val="24"/>
          <w:szCs w:val="24"/>
        </w:rPr>
        <w:t>山东省财政厅</w:t>
      </w:r>
    </w:p>
    <w:p w:rsidR="007B0D9F" w:rsidRPr="007B0D9F" w:rsidRDefault="007B0D9F" w:rsidP="007B0D9F">
      <w:pPr>
        <w:widowControl/>
        <w:shd w:val="clear" w:color="auto" w:fill="FFFFFF"/>
        <w:spacing w:after="150"/>
        <w:jc w:val="right"/>
        <w:rPr>
          <w:rFonts w:ascii="宋体" w:eastAsia="宋体" w:hAnsi="宋体" w:cs="宋体"/>
          <w:color w:val="333333"/>
          <w:kern w:val="0"/>
          <w:sz w:val="24"/>
          <w:szCs w:val="24"/>
        </w:rPr>
      </w:pPr>
      <w:r w:rsidRPr="007B0D9F">
        <w:rPr>
          <w:rFonts w:ascii="宋体" w:eastAsia="宋体" w:hAnsi="宋体" w:cs="宋体"/>
          <w:color w:val="333333"/>
          <w:kern w:val="0"/>
          <w:sz w:val="24"/>
          <w:szCs w:val="24"/>
        </w:rPr>
        <w:t>2022年10月18日</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（此件公开发布）</w:t>
      </w:r>
    </w:p>
    <w:p w:rsidR="007B0D9F" w:rsidRPr="007B0D9F" w:rsidRDefault="007B0D9F" w:rsidP="007B0D9F">
      <w:pPr>
        <w:widowControl/>
        <w:shd w:val="clear" w:color="auto" w:fill="FFFFFF"/>
        <w:jc w:val="center"/>
        <w:rPr>
          <w:rFonts w:ascii="宋体" w:eastAsia="宋体" w:hAnsi="宋体" w:cs="宋体"/>
          <w:color w:val="333333"/>
          <w:kern w:val="0"/>
          <w:sz w:val="24"/>
          <w:szCs w:val="24"/>
        </w:rPr>
      </w:pPr>
      <w:r w:rsidRPr="007B0D9F">
        <w:rPr>
          <w:rFonts w:ascii="宋体" w:eastAsia="宋体" w:hAnsi="宋体" w:cs="宋体"/>
          <w:b/>
          <w:bCs/>
          <w:color w:val="333333"/>
          <w:kern w:val="0"/>
          <w:sz w:val="24"/>
          <w:szCs w:val="24"/>
        </w:rPr>
        <w:t>山东省创新</w:t>
      </w:r>
      <w:proofErr w:type="gramStart"/>
      <w:r w:rsidRPr="007B0D9F">
        <w:rPr>
          <w:rFonts w:ascii="宋体" w:eastAsia="宋体" w:hAnsi="宋体" w:cs="宋体"/>
          <w:b/>
          <w:bCs/>
          <w:color w:val="333333"/>
          <w:kern w:val="0"/>
          <w:sz w:val="24"/>
          <w:szCs w:val="24"/>
        </w:rPr>
        <w:t>券</w:t>
      </w:r>
      <w:proofErr w:type="gramEnd"/>
      <w:r w:rsidRPr="007B0D9F">
        <w:rPr>
          <w:rFonts w:ascii="宋体" w:eastAsia="宋体" w:hAnsi="宋体" w:cs="宋体"/>
          <w:b/>
          <w:bCs/>
          <w:color w:val="333333"/>
          <w:kern w:val="0"/>
          <w:sz w:val="24"/>
          <w:szCs w:val="24"/>
        </w:rPr>
        <w:t>使用管理办法</w:t>
      </w:r>
    </w:p>
    <w:p w:rsidR="007B0D9F" w:rsidRPr="007B0D9F" w:rsidRDefault="007B0D9F" w:rsidP="007B0D9F">
      <w:pPr>
        <w:widowControl/>
        <w:shd w:val="clear" w:color="auto" w:fill="FFFFFF"/>
        <w:jc w:val="center"/>
        <w:rPr>
          <w:rFonts w:ascii="宋体" w:eastAsia="宋体" w:hAnsi="宋体" w:cs="宋体"/>
          <w:color w:val="333333"/>
          <w:kern w:val="0"/>
          <w:sz w:val="24"/>
          <w:szCs w:val="24"/>
        </w:rPr>
      </w:pPr>
      <w:r w:rsidRPr="007B0D9F">
        <w:rPr>
          <w:rFonts w:ascii="宋体" w:eastAsia="宋体" w:hAnsi="宋体" w:cs="宋体"/>
          <w:b/>
          <w:bCs/>
          <w:color w:val="333333"/>
          <w:kern w:val="0"/>
          <w:sz w:val="24"/>
          <w:szCs w:val="24"/>
        </w:rPr>
        <w:t>第一章  总则</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第一条 为深入贯彻落实国务院《关于支持山东深化新旧动能转换推动绿色低碳高质量发展的意见》《科技部 发展改革委 财政部关于印发&lt;国家重大科研基础设施和大型科研仪器开放共享管理办法&gt;的通知》等精神，进一步促进科研设施和科研仪器（以下简称科研设施与仪器）等科技资源开放共享，增强创新活力，激发创新潜能，提高科技创新水平，支撑经济社会高质量发展，制定本办法。</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第二条 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是面向山东省行政区域内中小</w:t>
      </w:r>
      <w:proofErr w:type="gramStart"/>
      <w:r w:rsidRPr="007B0D9F">
        <w:rPr>
          <w:rFonts w:ascii="宋体" w:eastAsia="宋体" w:hAnsi="宋体" w:cs="宋体"/>
          <w:color w:val="333333"/>
          <w:kern w:val="0"/>
          <w:sz w:val="24"/>
          <w:szCs w:val="24"/>
        </w:rPr>
        <w:t>微企业</w:t>
      </w:r>
      <w:proofErr w:type="gramEnd"/>
      <w:r w:rsidRPr="007B0D9F">
        <w:rPr>
          <w:rFonts w:ascii="宋体" w:eastAsia="宋体" w:hAnsi="宋体" w:cs="宋体"/>
          <w:color w:val="333333"/>
          <w:kern w:val="0"/>
          <w:sz w:val="24"/>
          <w:szCs w:val="24"/>
        </w:rPr>
        <w:t>和创业（创客）团队（以下简称使用方）无偿发放，用于补助其使用共享科研设施与仪器开展科技创新活动、购买科技创新服务、促进科技资源开放共享、支撑创新创业的普惠性政策工具。</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第三条 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资金从省科技创新发展资金中安排，列入年度财政预算。</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资金的使用和管理遵守国家有关法律法规和财务规章制度，遵循广泛引导、公开普惠、科学管理与专款专用的原则。</w:t>
      </w:r>
    </w:p>
    <w:p w:rsidR="007B0D9F" w:rsidRPr="007B0D9F" w:rsidRDefault="007B0D9F" w:rsidP="007B0D9F">
      <w:pPr>
        <w:widowControl/>
        <w:shd w:val="clear" w:color="auto" w:fill="FFFFFF"/>
        <w:jc w:val="center"/>
        <w:rPr>
          <w:rFonts w:ascii="宋体" w:eastAsia="宋体" w:hAnsi="宋体" w:cs="宋体"/>
          <w:color w:val="333333"/>
          <w:kern w:val="0"/>
          <w:sz w:val="24"/>
          <w:szCs w:val="24"/>
        </w:rPr>
      </w:pPr>
      <w:r w:rsidRPr="007B0D9F">
        <w:rPr>
          <w:rFonts w:ascii="宋体" w:eastAsia="宋体" w:hAnsi="宋体" w:cs="宋体"/>
          <w:b/>
          <w:bCs/>
          <w:color w:val="333333"/>
          <w:kern w:val="0"/>
          <w:sz w:val="24"/>
          <w:szCs w:val="24"/>
        </w:rPr>
        <w:t>第二章  组织管理</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第四条 省科技厅会同省财政厅组织实施创新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的管理服务工作。省科技厅负责创新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的政策制定、决策指导、资金拨付、监督检查和绩效评价工作，研究确定创新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实施过程中的重大事项；省财政厅负责创新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资金保障等工作。</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第五条 省科技厅依托“山东省大型科学仪器设备协作共用网”（以下简称“省科学仪器共用网”）建设山东省创新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管理服务平台，实现创新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线上发放、审核、统计分析和日常管理等。</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使用管理的具体事务性工作，可由省科技厅根据相关法律法规按程序委托第三方机构协助完成。</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第六条 设区市科技局负责本市使用方及科技服务机构的入网审核、政策宣传、创新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审核、统计等工作；市财政局负责协助开展经费使用监督等工作。</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lastRenderedPageBreak/>
        <w:t>第七条 省级以上科技企业孵化器、</w:t>
      </w:r>
      <w:proofErr w:type="gramStart"/>
      <w:r w:rsidRPr="007B0D9F">
        <w:rPr>
          <w:rFonts w:ascii="宋体" w:eastAsia="宋体" w:hAnsi="宋体" w:cs="宋体"/>
          <w:color w:val="333333"/>
          <w:kern w:val="0"/>
          <w:sz w:val="24"/>
          <w:szCs w:val="24"/>
        </w:rPr>
        <w:t>众创空间</w:t>
      </w:r>
      <w:proofErr w:type="gramEnd"/>
      <w:r w:rsidRPr="007B0D9F">
        <w:rPr>
          <w:rFonts w:ascii="宋体" w:eastAsia="宋体" w:hAnsi="宋体" w:cs="宋体"/>
          <w:color w:val="333333"/>
          <w:kern w:val="0"/>
          <w:sz w:val="24"/>
          <w:szCs w:val="24"/>
        </w:rPr>
        <w:t>、专业化</w:t>
      </w:r>
      <w:proofErr w:type="gramStart"/>
      <w:r w:rsidRPr="007B0D9F">
        <w:rPr>
          <w:rFonts w:ascii="宋体" w:eastAsia="宋体" w:hAnsi="宋体" w:cs="宋体"/>
          <w:color w:val="333333"/>
          <w:kern w:val="0"/>
          <w:sz w:val="24"/>
          <w:szCs w:val="24"/>
        </w:rPr>
        <w:t>众创空间</w:t>
      </w:r>
      <w:proofErr w:type="gramEnd"/>
      <w:r w:rsidRPr="007B0D9F">
        <w:rPr>
          <w:rFonts w:ascii="宋体" w:eastAsia="宋体" w:hAnsi="宋体" w:cs="宋体"/>
          <w:color w:val="333333"/>
          <w:kern w:val="0"/>
          <w:sz w:val="24"/>
          <w:szCs w:val="24"/>
        </w:rPr>
        <w:t>和大学科技园等创新创业孵化载体，负责为入驻企业和创业（创客）团队提供政策咨询服务，协助申请和兑付创新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等工作。</w:t>
      </w:r>
    </w:p>
    <w:p w:rsidR="007B0D9F" w:rsidRPr="007B0D9F" w:rsidRDefault="007B0D9F" w:rsidP="007B0D9F">
      <w:pPr>
        <w:widowControl/>
        <w:shd w:val="clear" w:color="auto" w:fill="FFFFFF"/>
        <w:jc w:val="center"/>
        <w:rPr>
          <w:rFonts w:ascii="宋体" w:eastAsia="宋体" w:hAnsi="宋体" w:cs="宋体"/>
          <w:color w:val="333333"/>
          <w:kern w:val="0"/>
          <w:sz w:val="24"/>
          <w:szCs w:val="24"/>
        </w:rPr>
      </w:pPr>
      <w:r w:rsidRPr="007B0D9F">
        <w:rPr>
          <w:rFonts w:ascii="宋体" w:eastAsia="宋体" w:hAnsi="宋体" w:cs="宋体"/>
          <w:b/>
          <w:bCs/>
          <w:color w:val="333333"/>
          <w:kern w:val="0"/>
          <w:sz w:val="24"/>
          <w:szCs w:val="24"/>
        </w:rPr>
        <w:t>第三章  支持对象、范围和补助标准</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第八条 本办法所支持的中小</w:t>
      </w:r>
      <w:proofErr w:type="gramStart"/>
      <w:r w:rsidRPr="007B0D9F">
        <w:rPr>
          <w:rFonts w:ascii="宋体" w:eastAsia="宋体" w:hAnsi="宋体" w:cs="宋体"/>
          <w:color w:val="333333"/>
          <w:kern w:val="0"/>
          <w:sz w:val="24"/>
          <w:szCs w:val="24"/>
        </w:rPr>
        <w:t>微企业</w:t>
      </w:r>
      <w:proofErr w:type="gramEnd"/>
      <w:r w:rsidRPr="007B0D9F">
        <w:rPr>
          <w:rFonts w:ascii="宋体" w:eastAsia="宋体" w:hAnsi="宋体" w:cs="宋体"/>
          <w:color w:val="333333"/>
          <w:kern w:val="0"/>
          <w:sz w:val="24"/>
          <w:szCs w:val="24"/>
        </w:rPr>
        <w:t>应满足以下条件：</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（一）注册地在山东省行政区域内，具有独立法人资格，职工总数不超过500人、年销售收入不超过2亿元；</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（二）具有健全的财务机构，管理规范，无不良诚信记录；</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（三）与开展合作的科技服务机构之间无任何隶属、共建、相互参股等关联关系。</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第九条 本办法所支持的创业（创客）团队应满足以下条件：</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（一）不具备法人资格，还未注册企业；</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（二）入驻省级以上科技企业孵化器、</w:t>
      </w:r>
      <w:proofErr w:type="gramStart"/>
      <w:r w:rsidRPr="007B0D9F">
        <w:rPr>
          <w:rFonts w:ascii="宋体" w:eastAsia="宋体" w:hAnsi="宋体" w:cs="宋体"/>
          <w:color w:val="333333"/>
          <w:kern w:val="0"/>
          <w:sz w:val="24"/>
          <w:szCs w:val="24"/>
        </w:rPr>
        <w:t>众创空间</w:t>
      </w:r>
      <w:proofErr w:type="gramEnd"/>
      <w:r w:rsidRPr="007B0D9F">
        <w:rPr>
          <w:rFonts w:ascii="宋体" w:eastAsia="宋体" w:hAnsi="宋体" w:cs="宋体"/>
          <w:color w:val="333333"/>
          <w:kern w:val="0"/>
          <w:sz w:val="24"/>
          <w:szCs w:val="24"/>
        </w:rPr>
        <w:t>、专业化</w:t>
      </w:r>
      <w:proofErr w:type="gramStart"/>
      <w:r w:rsidRPr="007B0D9F">
        <w:rPr>
          <w:rFonts w:ascii="宋体" w:eastAsia="宋体" w:hAnsi="宋体" w:cs="宋体"/>
          <w:color w:val="333333"/>
          <w:kern w:val="0"/>
          <w:sz w:val="24"/>
          <w:szCs w:val="24"/>
        </w:rPr>
        <w:t>众创空间</w:t>
      </w:r>
      <w:proofErr w:type="gramEnd"/>
      <w:r w:rsidRPr="007B0D9F">
        <w:rPr>
          <w:rFonts w:ascii="宋体" w:eastAsia="宋体" w:hAnsi="宋体" w:cs="宋体"/>
          <w:color w:val="333333"/>
          <w:kern w:val="0"/>
          <w:sz w:val="24"/>
          <w:szCs w:val="24"/>
        </w:rPr>
        <w:t>和大学科技园等创新创业孵化载体；</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（三）创新项目需具有产品研发及成果转化所需的检测、试验、分析等研发工作。</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第十条 山东省行政区域内高等院校、科研院所，以及国家实验室、全国重点实验室、省实验室、省重点实验室、技术创新中心、临床医学研究中心、新型研发机构等创新创业载体或其依托单位作为科技创新服务供给方（以下简称供给方），必须按规定在省科学仪器共用网注册成为会员，对外开展相关科技创新服务。</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鼓励黄河流域科技创新联盟（青海、宁夏、内蒙古、陕西、山西、四川、甘肃、河南、新疆）内科</w:t>
      </w:r>
      <w:proofErr w:type="gramStart"/>
      <w:r w:rsidRPr="007B0D9F">
        <w:rPr>
          <w:rFonts w:ascii="宋体" w:eastAsia="宋体" w:hAnsi="宋体" w:cs="宋体"/>
          <w:color w:val="333333"/>
          <w:kern w:val="0"/>
          <w:sz w:val="24"/>
          <w:szCs w:val="24"/>
        </w:rPr>
        <w:t>技资源</w:t>
      </w:r>
      <w:proofErr w:type="gramEnd"/>
      <w:r w:rsidRPr="007B0D9F">
        <w:rPr>
          <w:rFonts w:ascii="宋体" w:eastAsia="宋体" w:hAnsi="宋体" w:cs="宋体"/>
          <w:color w:val="333333"/>
          <w:kern w:val="0"/>
          <w:sz w:val="24"/>
          <w:szCs w:val="24"/>
        </w:rPr>
        <w:t>集中的高等院校、科研院所、服务机构等在省科学仪器共用网注册成为会员。拓宽创新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使用范围，支持省内企业使用黄河流域科技创新联盟所属单位大型仪器设备，促进科技资源开放共享。</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第十一条 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的支持范围是供给方依托科研设施与仪器为使用方提供的科技创新服务，主要包括：</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（一）研究开发服务。主要包括工业（产品）设计与服务、工艺设计与服务、集成电路设计、新产品与工艺合作研发、新技术委托开发、技术解决方案、中试及工程化开发服务等；</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（二）检验检测服务。主要包括新产品检验、指标测试、新产品性能测试、标准系统定制、集成电路封装测试、委托分析、委托实验、机时共享服务等。</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不支持以下服务：</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（一）按照法律法规或者强制性标准要求开展的强制检测、法定检测以及生产性常规检测、批量检测、产品质量抽检、环境检测等非科技创新活动；</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（二）已列入各级各类科技计划（基金、专项）或其他财政性资金支持的科技创新活动。</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lastRenderedPageBreak/>
        <w:t>第十二条 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的补助标准：对符合本办法第十一条规定的科技创新活动发生的费用，给予枣庄、临沂、德州、聊城、滨州、菏泽等6市和省财政直管县的使用方60%的补助，其他地区40%的补助；同一实际控制人企业或团队每年最高补助50万元。</w:t>
      </w:r>
    </w:p>
    <w:p w:rsidR="007B0D9F" w:rsidRPr="007B0D9F" w:rsidRDefault="007B0D9F" w:rsidP="007B0D9F">
      <w:pPr>
        <w:widowControl/>
        <w:shd w:val="clear" w:color="auto" w:fill="FFFFFF"/>
        <w:jc w:val="center"/>
        <w:rPr>
          <w:rFonts w:ascii="宋体" w:eastAsia="宋体" w:hAnsi="宋体" w:cs="宋体"/>
          <w:color w:val="333333"/>
          <w:kern w:val="0"/>
          <w:sz w:val="24"/>
          <w:szCs w:val="24"/>
        </w:rPr>
      </w:pPr>
      <w:r w:rsidRPr="007B0D9F">
        <w:rPr>
          <w:rFonts w:ascii="宋体" w:eastAsia="宋体" w:hAnsi="宋体" w:cs="宋体"/>
          <w:b/>
          <w:bCs/>
          <w:color w:val="333333"/>
          <w:kern w:val="0"/>
          <w:sz w:val="24"/>
          <w:szCs w:val="24"/>
        </w:rPr>
        <w:t>第四章  使用与兑付</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第十三条 以财政资金为主建设的供给方依托省科学仪器共用网对外提供科技创新服务，可以根据人力成本等收取服务费，并按照成本补偿和非盈利性原则收取材料消耗费和水、电等运行费。</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供给方开展科技创新服务所得收入用于弥补上述人力成本、材料消耗费和水、电等运行费后仍有盈余的，可按单位横向课题经费进行管理，或参照单位科技成果转化收益相关分配政策，用于奖励提供科技创新服务的科技人员及团队。</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第十四条 供给方是提供科技创新服务的责任主体，要健全完善创新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使用服务管理制度，安排专职人员负责服务工作，并在省科学仪器共用网公开科技创新服务内容、服务流程、收费标准、服务电话等信息，保证服务质量；在服务过程中，保护使用方形成的知识产权、科学数据和技术秘密。</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第十五条 符合本办法规定的使用方</w:t>
      </w:r>
      <w:proofErr w:type="gramStart"/>
      <w:r w:rsidRPr="007B0D9F">
        <w:rPr>
          <w:rFonts w:ascii="宋体" w:eastAsia="宋体" w:hAnsi="宋体" w:cs="宋体"/>
          <w:color w:val="333333"/>
          <w:kern w:val="0"/>
          <w:sz w:val="24"/>
          <w:szCs w:val="24"/>
        </w:rPr>
        <w:t>登录省</w:t>
      </w:r>
      <w:proofErr w:type="gramEnd"/>
      <w:r w:rsidRPr="007B0D9F">
        <w:rPr>
          <w:rFonts w:ascii="宋体" w:eastAsia="宋体" w:hAnsi="宋体" w:cs="宋体"/>
          <w:color w:val="333333"/>
          <w:kern w:val="0"/>
          <w:sz w:val="24"/>
          <w:szCs w:val="24"/>
        </w:rPr>
        <w:t>科学仪器共用网并注册成为会员，即可获得创新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使用资格。</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第十六条 使用方通过省科学仪器共用网预约使用科研设施与仪器开展科技创新活动，与供给方协商在线下完成服务后，在线上提交服务合同、发票、服务结果证明（检测试验分析活动还需提供科技创新相关性证明）等材料。创业（创客）团队由入驻的创新创业孵化载体统一提交材料。</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第十七条 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实行实名制，不得转让、买卖，不得重复使用。创新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每月兑付一次，自科技创新服务完成之日起6个月内有效。经过</w:t>
      </w:r>
      <w:proofErr w:type="gramStart"/>
      <w:r w:rsidRPr="007B0D9F">
        <w:rPr>
          <w:rFonts w:ascii="宋体" w:eastAsia="宋体" w:hAnsi="宋体" w:cs="宋体"/>
          <w:color w:val="333333"/>
          <w:kern w:val="0"/>
          <w:sz w:val="24"/>
          <w:szCs w:val="24"/>
        </w:rPr>
        <w:t>使用方线上</w:t>
      </w:r>
      <w:proofErr w:type="gramEnd"/>
      <w:r w:rsidRPr="007B0D9F">
        <w:rPr>
          <w:rFonts w:ascii="宋体" w:eastAsia="宋体" w:hAnsi="宋体" w:cs="宋体"/>
          <w:color w:val="333333"/>
          <w:kern w:val="0"/>
          <w:sz w:val="24"/>
          <w:szCs w:val="24"/>
        </w:rPr>
        <w:t>提出申请、设区市科技局审核提出兑付意见、省科技厅确认兑付结果等程序后，原则上每月月底前将上个月申请的创新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兑付资金拨付到使用方。</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第十八条 设区市科技局每月将审核后的创新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相关材料汇总，加盖公章后寄（送）到省科技厅。省科技厅根据各市上报情况拨付补助资金，依申请向社会公开。</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第十九条 省科技厅对山东省行政区域内服务制度健全、提供服务量大、用户评价高、综合效益突出的供给方，按其上年度实际服务创新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总额的10%-30%给予奖励补助。根据综合评价结果，按10%、20%、30%三个档次进行补助。同一供给方每年最高补助200万元。</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奖励补助资金主要用于奖励提供科技创新服务的科技人员及团队，也可用于科研设施与仪器的运行维修维护、升级改造、分析测试技术及方法研究、临时聘用人员补助及实验技术人员的学习培训等。</w:t>
      </w:r>
    </w:p>
    <w:p w:rsidR="007B0D9F" w:rsidRPr="007B0D9F" w:rsidRDefault="007B0D9F" w:rsidP="007B0D9F">
      <w:pPr>
        <w:widowControl/>
        <w:shd w:val="clear" w:color="auto" w:fill="FFFFFF"/>
        <w:jc w:val="center"/>
        <w:rPr>
          <w:rFonts w:ascii="宋体" w:eastAsia="宋体" w:hAnsi="宋体" w:cs="宋体"/>
          <w:color w:val="333333"/>
          <w:kern w:val="0"/>
          <w:sz w:val="24"/>
          <w:szCs w:val="24"/>
        </w:rPr>
      </w:pPr>
      <w:r w:rsidRPr="007B0D9F">
        <w:rPr>
          <w:rFonts w:ascii="宋体" w:eastAsia="宋体" w:hAnsi="宋体" w:cs="宋体"/>
          <w:b/>
          <w:bCs/>
          <w:color w:val="333333"/>
          <w:kern w:val="0"/>
          <w:sz w:val="24"/>
          <w:szCs w:val="24"/>
        </w:rPr>
        <w:t>第五章  监督管理</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第二十条 供给方和使用方应按照诚实守信的原则申请、使用创新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，如实填写网上信息、提供相关资料，并自觉接受相关部门的监督检查。</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lastRenderedPageBreak/>
        <w:t>第二十一条 省科技厅将对各市和供给方创新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工作情况进行评价，对不按规定公开开放信息、提供科技创新服务、创新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使用效率低的供给方予以通报，并在新购仪器设备、申请省级科技计划项目及创新平台等方面予以约束。</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第二十二条 省、市科技部门会同财政部门对创新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使用情况进行监督检查和飞行抽查。对创新</w:t>
      </w:r>
      <w:proofErr w:type="gramStart"/>
      <w:r w:rsidRPr="007B0D9F">
        <w:rPr>
          <w:rFonts w:ascii="宋体" w:eastAsia="宋体" w:hAnsi="宋体" w:cs="宋体"/>
          <w:color w:val="333333"/>
          <w:kern w:val="0"/>
          <w:sz w:val="24"/>
          <w:szCs w:val="24"/>
        </w:rPr>
        <w:t>券</w:t>
      </w:r>
      <w:proofErr w:type="gramEnd"/>
      <w:r w:rsidRPr="007B0D9F">
        <w:rPr>
          <w:rFonts w:ascii="宋体" w:eastAsia="宋体" w:hAnsi="宋体" w:cs="宋体"/>
          <w:color w:val="333333"/>
          <w:kern w:val="0"/>
          <w:sz w:val="24"/>
          <w:szCs w:val="24"/>
        </w:rPr>
        <w:t>使用中有弄虚作假、以不正当手段套取补助资金或奖励资金等违规行为，依照《科学技术活动违规行为处理暂行规定》相关规定处理。</w:t>
      </w:r>
    </w:p>
    <w:p w:rsidR="007B0D9F" w:rsidRPr="007B0D9F" w:rsidRDefault="007B0D9F" w:rsidP="007B0D9F">
      <w:pPr>
        <w:widowControl/>
        <w:shd w:val="clear" w:color="auto" w:fill="FFFFFF"/>
        <w:jc w:val="center"/>
        <w:rPr>
          <w:rFonts w:ascii="宋体" w:eastAsia="宋体" w:hAnsi="宋体" w:cs="宋体"/>
          <w:color w:val="333333"/>
          <w:kern w:val="0"/>
          <w:sz w:val="24"/>
          <w:szCs w:val="24"/>
        </w:rPr>
      </w:pPr>
      <w:r w:rsidRPr="007B0D9F">
        <w:rPr>
          <w:rFonts w:ascii="宋体" w:eastAsia="宋体" w:hAnsi="宋体" w:cs="宋体"/>
          <w:b/>
          <w:bCs/>
          <w:color w:val="333333"/>
          <w:kern w:val="0"/>
          <w:sz w:val="24"/>
          <w:szCs w:val="24"/>
        </w:rPr>
        <w:t>第六章  附则</w:t>
      </w:r>
    </w:p>
    <w:p w:rsidR="007B0D9F" w:rsidRPr="007B0D9F" w:rsidRDefault="007B0D9F" w:rsidP="007B0D9F">
      <w:pPr>
        <w:widowControl/>
        <w:shd w:val="clear" w:color="auto" w:fill="FFFFFF"/>
        <w:spacing w:after="150"/>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第二十三条 本办法由省科技厅、省财政厅负责解释。</w:t>
      </w:r>
    </w:p>
    <w:p w:rsidR="007B0D9F" w:rsidRPr="007B0D9F" w:rsidRDefault="007B0D9F" w:rsidP="007B0D9F">
      <w:pPr>
        <w:widowControl/>
        <w:shd w:val="clear" w:color="auto" w:fill="FFFFFF"/>
        <w:ind w:firstLine="480"/>
        <w:jc w:val="left"/>
        <w:rPr>
          <w:rFonts w:ascii="宋体" w:eastAsia="宋体" w:hAnsi="宋体" w:cs="宋体"/>
          <w:color w:val="333333"/>
          <w:kern w:val="0"/>
          <w:sz w:val="24"/>
          <w:szCs w:val="24"/>
        </w:rPr>
      </w:pPr>
      <w:r w:rsidRPr="007B0D9F">
        <w:rPr>
          <w:rFonts w:ascii="宋体" w:eastAsia="宋体" w:hAnsi="宋体" w:cs="宋体"/>
          <w:color w:val="333333"/>
          <w:kern w:val="0"/>
          <w:sz w:val="24"/>
          <w:szCs w:val="24"/>
        </w:rPr>
        <w:t>第二十四条 本办法自2022年10月18日起施行，有效期至2025年10月17日。原《山东省创新券管理使用办法》（鲁科字〔2019〕66号）同时失效。</w:t>
      </w:r>
    </w:p>
    <w:p w:rsidR="00533DFF" w:rsidRPr="007B0D9F" w:rsidRDefault="00533DFF"/>
    <w:sectPr w:rsidR="00533DFF" w:rsidRPr="007B0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BE" w:rsidRDefault="00A105BE" w:rsidP="007B0D9F">
      <w:r>
        <w:separator/>
      </w:r>
    </w:p>
  </w:endnote>
  <w:endnote w:type="continuationSeparator" w:id="0">
    <w:p w:rsidR="00A105BE" w:rsidRDefault="00A105BE" w:rsidP="007B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BE" w:rsidRDefault="00A105BE" w:rsidP="007B0D9F">
      <w:r>
        <w:separator/>
      </w:r>
    </w:p>
  </w:footnote>
  <w:footnote w:type="continuationSeparator" w:id="0">
    <w:p w:rsidR="00A105BE" w:rsidRDefault="00A105BE" w:rsidP="007B0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17"/>
    <w:rsid w:val="002D6C17"/>
    <w:rsid w:val="00533DFF"/>
    <w:rsid w:val="007B0D9F"/>
    <w:rsid w:val="00A1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B0D9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9F"/>
    <w:rPr>
      <w:sz w:val="18"/>
      <w:szCs w:val="18"/>
    </w:rPr>
  </w:style>
  <w:style w:type="paragraph" w:styleId="a4">
    <w:name w:val="footer"/>
    <w:basedOn w:val="a"/>
    <w:link w:val="Char0"/>
    <w:uiPriority w:val="99"/>
    <w:unhideWhenUsed/>
    <w:rsid w:val="007B0D9F"/>
    <w:pPr>
      <w:tabs>
        <w:tab w:val="center" w:pos="4153"/>
        <w:tab w:val="right" w:pos="8306"/>
      </w:tabs>
      <w:snapToGrid w:val="0"/>
      <w:jc w:val="left"/>
    </w:pPr>
    <w:rPr>
      <w:sz w:val="18"/>
      <w:szCs w:val="18"/>
    </w:rPr>
  </w:style>
  <w:style w:type="character" w:customStyle="1" w:styleId="Char0">
    <w:name w:val="页脚 Char"/>
    <w:basedOn w:val="a0"/>
    <w:link w:val="a4"/>
    <w:uiPriority w:val="99"/>
    <w:rsid w:val="007B0D9F"/>
    <w:rPr>
      <w:sz w:val="18"/>
      <w:szCs w:val="18"/>
    </w:rPr>
  </w:style>
  <w:style w:type="character" w:customStyle="1" w:styleId="3Char">
    <w:name w:val="标题 3 Char"/>
    <w:basedOn w:val="a0"/>
    <w:link w:val="3"/>
    <w:uiPriority w:val="9"/>
    <w:rsid w:val="007B0D9F"/>
    <w:rPr>
      <w:rFonts w:ascii="宋体" w:eastAsia="宋体" w:hAnsi="宋体" w:cs="宋体"/>
      <w:b/>
      <w:bCs/>
      <w:kern w:val="0"/>
      <w:sz w:val="27"/>
      <w:szCs w:val="27"/>
    </w:rPr>
  </w:style>
  <w:style w:type="paragraph" w:customStyle="1" w:styleId="detail-subtitle">
    <w:name w:val="detail-subtitle"/>
    <w:basedOn w:val="a"/>
    <w:rsid w:val="007B0D9F"/>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7B0D9F"/>
  </w:style>
  <w:style w:type="character" w:styleId="a5">
    <w:name w:val="Hyperlink"/>
    <w:basedOn w:val="a0"/>
    <w:uiPriority w:val="99"/>
    <w:semiHidden/>
    <w:unhideWhenUsed/>
    <w:rsid w:val="007B0D9F"/>
    <w:rPr>
      <w:color w:val="0000FF"/>
      <w:u w:val="single"/>
    </w:rPr>
  </w:style>
  <w:style w:type="paragraph" w:styleId="a6">
    <w:name w:val="Normal (Web)"/>
    <w:basedOn w:val="a"/>
    <w:uiPriority w:val="99"/>
    <w:semiHidden/>
    <w:unhideWhenUsed/>
    <w:rsid w:val="007B0D9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B0D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B0D9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9F"/>
    <w:rPr>
      <w:sz w:val="18"/>
      <w:szCs w:val="18"/>
    </w:rPr>
  </w:style>
  <w:style w:type="paragraph" w:styleId="a4">
    <w:name w:val="footer"/>
    <w:basedOn w:val="a"/>
    <w:link w:val="Char0"/>
    <w:uiPriority w:val="99"/>
    <w:unhideWhenUsed/>
    <w:rsid w:val="007B0D9F"/>
    <w:pPr>
      <w:tabs>
        <w:tab w:val="center" w:pos="4153"/>
        <w:tab w:val="right" w:pos="8306"/>
      </w:tabs>
      <w:snapToGrid w:val="0"/>
      <w:jc w:val="left"/>
    </w:pPr>
    <w:rPr>
      <w:sz w:val="18"/>
      <w:szCs w:val="18"/>
    </w:rPr>
  </w:style>
  <w:style w:type="character" w:customStyle="1" w:styleId="Char0">
    <w:name w:val="页脚 Char"/>
    <w:basedOn w:val="a0"/>
    <w:link w:val="a4"/>
    <w:uiPriority w:val="99"/>
    <w:rsid w:val="007B0D9F"/>
    <w:rPr>
      <w:sz w:val="18"/>
      <w:szCs w:val="18"/>
    </w:rPr>
  </w:style>
  <w:style w:type="character" w:customStyle="1" w:styleId="3Char">
    <w:name w:val="标题 3 Char"/>
    <w:basedOn w:val="a0"/>
    <w:link w:val="3"/>
    <w:uiPriority w:val="9"/>
    <w:rsid w:val="007B0D9F"/>
    <w:rPr>
      <w:rFonts w:ascii="宋体" w:eastAsia="宋体" w:hAnsi="宋体" w:cs="宋体"/>
      <w:b/>
      <w:bCs/>
      <w:kern w:val="0"/>
      <w:sz w:val="27"/>
      <w:szCs w:val="27"/>
    </w:rPr>
  </w:style>
  <w:style w:type="paragraph" w:customStyle="1" w:styleId="detail-subtitle">
    <w:name w:val="detail-subtitle"/>
    <w:basedOn w:val="a"/>
    <w:rsid w:val="007B0D9F"/>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7B0D9F"/>
  </w:style>
  <w:style w:type="character" w:styleId="a5">
    <w:name w:val="Hyperlink"/>
    <w:basedOn w:val="a0"/>
    <w:uiPriority w:val="99"/>
    <w:semiHidden/>
    <w:unhideWhenUsed/>
    <w:rsid w:val="007B0D9F"/>
    <w:rPr>
      <w:color w:val="0000FF"/>
      <w:u w:val="single"/>
    </w:rPr>
  </w:style>
  <w:style w:type="paragraph" w:styleId="a6">
    <w:name w:val="Normal (Web)"/>
    <w:basedOn w:val="a"/>
    <w:uiPriority w:val="99"/>
    <w:semiHidden/>
    <w:unhideWhenUsed/>
    <w:rsid w:val="007B0D9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B0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02654">
      <w:bodyDiv w:val="1"/>
      <w:marLeft w:val="0"/>
      <w:marRight w:val="0"/>
      <w:marTop w:val="0"/>
      <w:marBottom w:val="0"/>
      <w:divBdr>
        <w:top w:val="none" w:sz="0" w:space="0" w:color="auto"/>
        <w:left w:val="none" w:sz="0" w:space="0" w:color="auto"/>
        <w:bottom w:val="none" w:sz="0" w:space="0" w:color="auto"/>
        <w:right w:val="none" w:sz="0" w:space="0" w:color="auto"/>
      </w:divBdr>
      <w:divsChild>
        <w:div w:id="905601827">
          <w:marLeft w:val="0"/>
          <w:marRight w:val="0"/>
          <w:marTop w:val="0"/>
          <w:marBottom w:val="0"/>
          <w:divBdr>
            <w:top w:val="none" w:sz="0" w:space="0" w:color="auto"/>
            <w:left w:val="none" w:sz="0" w:space="0" w:color="auto"/>
            <w:bottom w:val="single" w:sz="6" w:space="0" w:color="E5E5E5"/>
            <w:right w:val="none" w:sz="0" w:space="0" w:color="auto"/>
          </w:divBdr>
        </w:div>
        <w:div w:id="17375123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2783</Characters>
  <Application>Microsoft Office Word</Application>
  <DocSecurity>0</DocSecurity>
  <Lines>23</Lines>
  <Paragraphs>6</Paragraphs>
  <ScaleCrop>false</ScaleCrop>
  <Company>微软中国</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2022-12-12T01:37:00Z</dcterms:created>
  <dcterms:modified xsi:type="dcterms:W3CDTF">2022-12-12T01:38:00Z</dcterms:modified>
</cp:coreProperties>
</file>