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105" w:rightChars="-50"/>
        <w:jc w:val="center"/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济宁市经济开发区人力资源部</w:t>
      </w:r>
    </w:p>
    <w:p>
      <w:pPr>
        <w:spacing w:line="590" w:lineRule="exact"/>
        <w:ind w:right="-105" w:rightChars="-50"/>
        <w:jc w:val="center"/>
        <w:rPr>
          <w:rFonts w:hint="eastAsia" w:ascii="方正小标宋简体" w:eastAsia="方正小标宋简体"/>
          <w:b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202</w:t>
      </w:r>
      <w:r>
        <w:rPr>
          <w:rFonts w:hint="eastAsia" w:ascii="方正小标宋简体" w:eastAsia="方正小标宋简体"/>
          <w:b/>
          <w:color w:val="000000"/>
          <w:sz w:val="44"/>
          <w:szCs w:val="44"/>
          <w:lang w:val="en-US" w:eastAsia="zh-CN"/>
        </w:rPr>
        <w:t>2</w:t>
      </w:r>
      <w:r>
        <w:rPr>
          <w:rFonts w:hint="eastAsia" w:ascii="方正小标宋简体" w:eastAsia="方正小标宋简体"/>
          <w:b/>
          <w:color w:val="000000"/>
          <w:sz w:val="44"/>
          <w:szCs w:val="44"/>
        </w:rPr>
        <w:t>年政府信息公开工作年度报告</w:t>
      </w:r>
    </w:p>
    <w:p>
      <w:pPr>
        <w:pStyle w:val="2"/>
      </w:pPr>
    </w:p>
    <w:p>
      <w:pPr>
        <w:spacing w:line="590" w:lineRule="exact"/>
        <w:ind w:right="-105" w:rightChars="-50" w:firstLine="642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本报告由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经济开发区人力资源部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105" w:rightChars="-50" w:firstLine="642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本报告内容包括总体情况、主动公开政府信息情况、收到和处理政府信息公开申请情况、政府信息公开行政复议和行政诉讼情况、存在的主要问题及改进情况、其他需要报告的事项等内容。</w:t>
      </w:r>
    </w:p>
    <w:p>
      <w:pPr>
        <w:spacing w:line="590" w:lineRule="exact"/>
        <w:ind w:right="-105" w:rightChars="-50" w:firstLine="642" w:firstLineChars="200"/>
        <w:rPr>
          <w:rFonts w:ascii="方正仿宋简体" w:eastAsia="方正仿宋简体"/>
          <w:b/>
          <w:color w:val="000000"/>
          <w:sz w:val="32"/>
          <w:szCs w:val="32"/>
        </w:rPr>
      </w:pPr>
      <w:r>
        <w:rPr>
          <w:rFonts w:hint="eastAsia" w:ascii="方正仿宋简体" w:eastAsia="方正仿宋简体"/>
          <w:b/>
          <w:color w:val="000000"/>
          <w:sz w:val="32"/>
          <w:szCs w:val="32"/>
        </w:rPr>
        <w:t>本报告所列数据的统计期限自202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年1月1日起至202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2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年12月31日止。本报告电子版可在“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济宁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·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经济技术开发区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”政府门户网站查阅或下载。如对本报告有疑问，请与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经开区人力资源部</w:t>
      </w:r>
      <w:r>
        <w:rPr>
          <w:rFonts w:hint="eastAsia" w:ascii="方正仿宋简体" w:eastAsia="方正仿宋简体"/>
          <w:b/>
          <w:color w:val="000000"/>
          <w:sz w:val="32"/>
          <w:szCs w:val="32"/>
        </w:rPr>
        <w:t>联系（地址：</w:t>
      </w:r>
      <w:r>
        <w:rPr>
          <w:rFonts w:hint="eastAsia" w:ascii="方正仿宋简体" w:eastAsia="方正仿宋简体"/>
          <w:b/>
          <w:color w:val="000000"/>
          <w:sz w:val="32"/>
          <w:szCs w:val="32"/>
          <w:lang w:val="en-US" w:eastAsia="zh-CN"/>
        </w:rPr>
        <w:t>经开区为民服务中心6号楼联系电话：0537—6990755）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一、总体情况</w:t>
      </w:r>
    </w:p>
    <w:p>
      <w:pPr>
        <w:spacing w:line="590" w:lineRule="exact"/>
        <w:ind w:right="-105" w:rightChars="-50" w:firstLine="642" w:firstLineChars="200"/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2022年，区人力资源部严格按照区党工委、管委会的工作要求，扎实做好政府信息公开服务，切实提高主动公开意识，提高政府工作透明度，助力法治政府建设，不断提升公共服务水平和效率，在经开区门户网站公开政府信息及通知公告23条。</w:t>
      </w:r>
      <w:r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  <w:t>制定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了</w:t>
      </w:r>
      <w:r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  <w:t>《人力资源部政务公开工作实施方案》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，</w:t>
      </w:r>
      <w:r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  <w:t>对政务公开工作进行细化分解，明确任务，压实责任。充分运用微信公众号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、微博</w:t>
      </w:r>
      <w:r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  <w:t>等新媒体平台发布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部门动态</w:t>
      </w:r>
      <w:r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  <w:t>、解读政策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220余条</w:t>
      </w:r>
      <w:r>
        <w:rPr>
          <w:rFonts w:hint="default" w:ascii="方正仿宋简体" w:eastAsia="方正仿宋简体" w:cs="Times New Roman"/>
          <w:b/>
          <w:sz w:val="32"/>
          <w:szCs w:val="32"/>
          <w:lang w:val="en-US" w:eastAsia="zh-CN"/>
        </w:rPr>
        <w:t>，促进政民互动。</w:t>
      </w:r>
    </w:p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color w:val="000000"/>
          <w:sz w:val="32"/>
          <w:szCs w:val="32"/>
        </w:rPr>
      </w:pPr>
      <w:r>
        <w:rPr>
          <w:rFonts w:hint="eastAsia" w:ascii="方正黑体简体" w:eastAsia="方正黑体简体"/>
          <w:b/>
          <w:color w:val="000000"/>
          <w:sz w:val="32"/>
          <w:szCs w:val="32"/>
        </w:rPr>
        <w:t>二、主动公开政府信息情况</w:t>
      </w:r>
    </w:p>
    <w:tbl>
      <w:tblPr>
        <w:tblStyle w:val="3"/>
        <w:tblW w:w="88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6"/>
        <w:gridCol w:w="2206"/>
        <w:gridCol w:w="2206"/>
        <w:gridCol w:w="22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本年制发件数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本年废止件数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规章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行政规范性文件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行政许可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/>
                <w:kern w:val="0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行政处罚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Calibri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行政强制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Calibri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8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000000" w:fill="C6D9F1"/>
            <w:noWrap w:val="0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信息内容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行政事业性收费</w:t>
            </w:r>
          </w:p>
        </w:tc>
        <w:tc>
          <w:tcPr>
            <w:tcW w:w="6618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hAnsi="Calibri" w:eastAsia="仿宋_GB2312" w:cs="Calibri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Calibri" w:eastAsia="仿宋_GB2312" w:cs="Calibri"/>
                <w:color w:val="FF0000"/>
                <w:kern w:val="0"/>
                <w:szCs w:val="21"/>
                <w:lang w:val="en-US" w:eastAsia="zh-CN"/>
              </w:rPr>
              <w:t>　</w:t>
            </w:r>
            <w:r>
              <w:rPr>
                <w:rFonts w:hint="eastAsia" w:ascii="仿宋_GB2312" w:eastAsia="仿宋_GB2312" w:cs="Calibri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三、收到和处理政府信息公开申请情况</w:t>
      </w:r>
    </w:p>
    <w:tbl>
      <w:tblPr>
        <w:tblStyle w:val="3"/>
        <w:tblW w:w="954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701"/>
        <w:gridCol w:w="2976"/>
        <w:gridCol w:w="747"/>
        <w:gridCol w:w="5"/>
        <w:gridCol w:w="535"/>
        <w:gridCol w:w="5"/>
        <w:gridCol w:w="535"/>
        <w:gridCol w:w="720"/>
        <w:gridCol w:w="675"/>
        <w:gridCol w:w="525"/>
        <w:gridCol w:w="1"/>
        <w:gridCol w:w="70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5093" w:type="dxa"/>
            <w:gridSpan w:val="3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黑体" w:eastAsia="楷体_GB2312"/>
                <w:kern w:val="0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（本列数据的勾稽关系为：第一项加第二项之和，</w:t>
            </w:r>
          </w:p>
          <w:p>
            <w:pPr>
              <w:widowControl/>
              <w:jc w:val="center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楷体_GB2312" w:hAnsi="黑体" w:eastAsia="楷体_GB2312"/>
                <w:kern w:val="0"/>
                <w:szCs w:val="21"/>
              </w:rPr>
              <w:t>等于第三项加第四项之和）</w:t>
            </w:r>
          </w:p>
        </w:tc>
        <w:tc>
          <w:tcPr>
            <w:tcW w:w="4448" w:type="dxa"/>
            <w:gridSpan w:val="10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自然人</w:t>
            </w:r>
          </w:p>
        </w:tc>
        <w:tc>
          <w:tcPr>
            <w:tcW w:w="3000" w:type="dxa"/>
            <w:gridSpan w:val="7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法人或其他组织</w:t>
            </w:r>
          </w:p>
        </w:tc>
        <w:tc>
          <w:tcPr>
            <w:tcW w:w="701" w:type="dxa"/>
            <w:gridSpan w:val="2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5093" w:type="dxa"/>
            <w:gridSpan w:val="3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  <w:tc>
          <w:tcPr>
            <w:tcW w:w="747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商业企业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科研机构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7" w:leftChars="-51" w:right="-107" w:rightChars="-5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社会公益组织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ind w:left="-106" w:leftChars="-51" w:right="-107" w:rightChars="-51" w:hanging="1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法律服务机构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60" w:lineRule="exact"/>
              <w:ind w:left="-63" w:leftChars="-30" w:right="-134" w:rightChars="-64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其他</w:t>
            </w:r>
          </w:p>
        </w:tc>
        <w:tc>
          <w:tcPr>
            <w:tcW w:w="701" w:type="dxa"/>
            <w:gridSpan w:val="2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三、本年度办理结果</w:t>
            </w: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（一）予以公开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52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3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6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b w:val="0"/>
                <w:bCs w:val="0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（三）不予公开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1.属于国家秘密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2.其他法律行政法规禁止公开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3.危及“三安全一稳定”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4.保护第三方合法权益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5.属于三类内部事务信息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6.属于四类过程性信息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7.属于行政执法案卷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8.属于行政查询事项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（四）无法提供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1.本机关不掌握相关政府信息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2.没有现成信息需要另行制作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3.补正后申请内容仍不明确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ind w:left="-107" w:leftChars="-51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（五）不予处理</w:t>
            </w: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1.信访举报投诉类申请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2.重复申请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3.要求提供公开出版物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00" w:lineRule="exact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4.无正当理由大量反复申请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00" w:lineRule="exact"/>
              <w:rPr>
                <w:rFonts w:ascii="黑体" w:hAnsi="黑体" w:eastAsia="黑体"/>
                <w:szCs w:val="21"/>
              </w:rPr>
            </w:pPr>
          </w:p>
        </w:tc>
        <w:tc>
          <w:tcPr>
            <w:tcW w:w="2976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5.要求行政机关确认或重新</w:t>
            </w:r>
          </w:p>
          <w:p>
            <w:pPr>
              <w:widowControl/>
              <w:spacing w:line="300" w:lineRule="exact"/>
              <w:ind w:firstLine="210" w:firstLineChars="100"/>
              <w:rPr>
                <w:rFonts w:ascii="仿宋_GB2312" w:hAnsi="黑体" w:eastAsia="仿宋_GB2312"/>
                <w:szCs w:val="21"/>
              </w:rPr>
            </w:pPr>
            <w:r>
              <w:rPr>
                <w:rFonts w:hint="eastAsia" w:ascii="仿宋_GB2312" w:hAnsi="黑体" w:eastAsia="仿宋_GB2312"/>
                <w:kern w:val="0"/>
                <w:szCs w:val="21"/>
              </w:rPr>
              <w:t>出具已获取信息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restart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（六）其他处理</w:t>
            </w: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="仿宋_GB2312" w:hAnsi="楷体" w:eastAsia="仿宋_GB2312"/>
                <w:lang w:val="en-US" w:eastAsia="zh-CN"/>
              </w:rPr>
            </w:pPr>
            <w:r>
              <w:rPr>
                <w:rFonts w:hint="eastAsia" w:ascii="仿宋_GB2312" w:hAnsi="楷体" w:eastAsia="仿宋_GB2312"/>
              </w:rPr>
              <w:t>1.申请人无正当理由逾期不补正、行政机关不再处理其政府信息公开申请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szCs w:val="21"/>
              </w:rPr>
            </w:pPr>
            <w:r>
              <w:rPr>
                <w:rFonts w:hint="eastAsia" w:ascii="仿宋_GB2312" w:hAnsi="Times New Roman" w:eastAsia="仿宋_GB2312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2.申请人逾期未按收费通知要求缴纳费用、行政机关不再处理其政府信息公开申请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403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1701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</w:p>
        </w:tc>
        <w:tc>
          <w:tcPr>
            <w:tcW w:w="2976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ascii="仿宋_GB2312" w:hAnsi="黑体" w:eastAsia="仿宋_GB2312"/>
                <w:kern w:val="0"/>
                <w:szCs w:val="21"/>
              </w:rPr>
            </w:pPr>
            <w:r>
              <w:rPr>
                <w:rFonts w:hint="eastAsia" w:ascii="仿宋_GB2312" w:hAnsi="楷体" w:eastAsia="仿宋_GB2312"/>
              </w:rPr>
              <w:t>3.其他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default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16" w:type="dxa"/>
            <w:vMerge w:val="continue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Cs w:val="21"/>
              </w:rPr>
            </w:pPr>
          </w:p>
        </w:tc>
        <w:tc>
          <w:tcPr>
            <w:tcW w:w="4677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（七）总计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93" w:type="dxa"/>
            <w:gridSpan w:val="3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黑体" w:hAnsi="黑体" w:eastAsia="黑体"/>
                <w:kern w:val="0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Cs w:val="21"/>
              </w:rPr>
              <w:t>四、结转下年度继续办理</w:t>
            </w:r>
          </w:p>
        </w:tc>
        <w:tc>
          <w:tcPr>
            <w:tcW w:w="747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40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20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67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525" w:type="dxa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ascii="仿宋_GB2312" w:hAnsi="Times New Roman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1" w:type="dxa"/>
            <w:gridSpan w:val="2"/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</w:tbl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四、政府信息公开行政复议、行政诉讼情况</w:t>
      </w:r>
    </w:p>
    <w:tbl>
      <w:tblPr>
        <w:tblStyle w:val="3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49" w:leftChars="-71" w:right="-170" w:rightChars="-8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43" w:leftChars="-21" w:right="-132" w:rightChars="-63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2" w:leftChars="-39" w:right="-97" w:rightChars="-4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18" w:leftChars="-56" w:right="-118" w:rightChars="-56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</w:t>
            </w:r>
          </w:p>
          <w:p>
            <w:pPr>
              <w:widowControl/>
              <w:spacing w:line="320" w:lineRule="exact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黑体" w:hAnsi="黑体" w:eastAsia="黑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05" w:leftChars="-50" w:right="-126" w:rightChars="-60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86" w:leftChars="-41" w:right="-88" w:rightChars="-42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26" w:leftChars="-60" w:right="-136" w:rightChars="-65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</w:t>
            </w:r>
          </w:p>
          <w:p>
            <w:pPr>
              <w:widowControl/>
              <w:ind w:left="-164" w:leftChars="-78" w:right="-153" w:rightChars="-73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99" w:leftChars="-47" w:right="-78" w:rightChars="-37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ind w:left="-136" w:leftChars="-65" w:right="-124" w:rightChars="-59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  <w:kern w:val="0"/>
                <w:sz w:val="20"/>
                <w:szCs w:val="20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其他</w:t>
            </w:r>
          </w:p>
          <w:p>
            <w:pPr>
              <w:widowControl/>
              <w:ind w:left="-173" w:leftChars="-83" w:right="-134" w:rightChars="-64" w:hanging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ind w:left="-67" w:leftChars="-33" w:right="-105" w:rightChars="-50" w:hanging="2" w:hangingChars="1"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</w:rPr>
            </w:pPr>
            <w:r>
              <w:rPr>
                <w:rFonts w:ascii="黑体" w:hAnsi="黑体" w:eastAsia="黑体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after="180"/>
              <w:jc w:val="center"/>
              <w:rPr>
                <w:rFonts w:hint="eastAsia" w:ascii="Times New Roman" w:hAnsi="Times New Roman" w:eastAsia="宋体"/>
                <w:lang w:val="en-US" w:eastAsia="zh-C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105" w:rightChars="-50" w:firstLine="642" w:firstLineChars="200"/>
        <w:rPr>
          <w:rFonts w:ascii="方正黑体简体" w:eastAsia="方正黑体简体"/>
          <w:b/>
          <w:sz w:val="32"/>
          <w:szCs w:val="32"/>
        </w:rPr>
      </w:pPr>
      <w:r>
        <w:rPr>
          <w:rFonts w:hint="eastAsia" w:ascii="方正黑体简体" w:eastAsia="方正黑体简体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2022年人力资源部政务公开取得了一定成效，但仍存在一些问题，具体表现在：一是公开意识有待进一步提升。对政务公开工作的重要性认识不到位，没有列入重要议事日程，未召开过政务公开工作专题会议或其他形式会议进行研究和部署，也未就该项工作作出过批示指示。二是缺乏对政策的解读，缺少对政府政策的解读性文件。</w:t>
      </w:r>
    </w:p>
    <w:p>
      <w:pPr>
        <w:spacing w:line="590" w:lineRule="exact"/>
        <w:ind w:right="-105" w:rightChars="-50" w:firstLine="642" w:firstLineChars="200"/>
        <w:rPr>
          <w:rFonts w:hint="eastAsia" w:ascii="微软雅黑" w:hAnsi="微软雅黑" w:eastAsia="微软雅黑" w:cs="微软雅黑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改进情况：要加强政务公开意识的培养，加强主动公开工作；加强对政策解读性文件的公开力度。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黑体简体" w:eastAsia="方正黑体简体"/>
          <w:b/>
          <w:sz w:val="32"/>
          <w:szCs w:val="32"/>
        </w:rPr>
        <w:t>六、其他需要报告的事项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1.依据《政府信息公开信息处理费管理办法》收取信息处理费的情况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baseline"/>
        <w:rPr>
          <w:rFonts w:hint="eastAsia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无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2.本行政机关落实上级年度政务公开工作要点情况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baseline"/>
        <w:rPr>
          <w:rFonts w:hint="eastAsia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无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3.本行政机关人大代表建议和政协提案办理结果公开情况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baseline"/>
        <w:rPr>
          <w:rFonts w:hint="eastAsia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无</w:t>
      </w:r>
    </w:p>
    <w:p>
      <w:pPr>
        <w:spacing w:line="590" w:lineRule="exact"/>
        <w:ind w:right="-105" w:rightChars="-50" w:firstLine="642" w:firstLineChars="200"/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4.本行政机关年度政务公开工作创新情况</w:t>
      </w: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无其他需要报告的事项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baseline"/>
        <w:rPr>
          <w:rFonts w:hint="eastAsia"/>
          <w:lang w:val="en-US" w:eastAsia="zh-CN"/>
        </w:rPr>
      </w:pPr>
      <w:r>
        <w:rPr>
          <w:rFonts w:hint="eastAsia" w:ascii="方正仿宋简体" w:eastAsia="方正仿宋简体" w:cs="Times New Roman"/>
          <w:b/>
          <w:sz w:val="32"/>
          <w:szCs w:val="32"/>
          <w:lang w:val="en-US" w:eastAsia="zh-CN"/>
        </w:rPr>
        <w:t>无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sectPr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zNzExODJkNGE0Y2UwYzQxMmU0YzgwMThkYjhkMmYifQ=="/>
  </w:docVars>
  <w:rsids>
    <w:rsidRoot w:val="00000000"/>
    <w:rsid w:val="05670350"/>
    <w:rsid w:val="09FD1BE8"/>
    <w:rsid w:val="1132160A"/>
    <w:rsid w:val="13BB4D98"/>
    <w:rsid w:val="17F78024"/>
    <w:rsid w:val="1BB54E9D"/>
    <w:rsid w:val="1E64360E"/>
    <w:rsid w:val="35756237"/>
    <w:rsid w:val="37DF7946"/>
    <w:rsid w:val="45211404"/>
    <w:rsid w:val="FF57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jc w:val="both"/>
      <w:textAlignment w:val="baseline"/>
    </w:pPr>
    <w:rPr>
      <w:rFonts w:ascii="仿宋_GB2312" w:hAnsi="Calibri" w:eastAsia="仿宋_GB2312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1597</Words>
  <Characters>1650</Characters>
  <Lines>0</Lines>
  <Paragraphs>0</Paragraphs>
  <TotalTime>0</TotalTime>
  <ScaleCrop>false</ScaleCrop>
  <LinksUpToDate>false</LinksUpToDate>
  <CharactersWithSpaces>1663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2023-01-17T14:50:00Z</dcterms:created>
  <dc:creator>10510</dc:creator>
  <cp:lastModifiedBy>user</cp:lastModifiedBy>
  <dcterms:modified xsi:type="dcterms:W3CDTF">2023-02-08T15:18:32Z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4D6025CDC1474E3B8B0D60F53039E74A</vt:lpwstr>
  </property>
</Properties>
</file>