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B30DF">
      <w:pPr>
        <w:pStyle w:val="4"/>
        <w:widowControl/>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
          <w:bCs w:val="0"/>
          <w:color w:val="auto"/>
          <w:sz w:val="44"/>
          <w:szCs w:val="44"/>
          <w:lang w:eastAsia="zh-CN"/>
        </w:rPr>
      </w:pPr>
      <w:r>
        <w:rPr>
          <w:rFonts w:hint="eastAsia" w:ascii="方正小标宋简体" w:hAnsi="方正小标宋简体" w:eastAsia="方正小标宋简体" w:cs="方正小标宋简体"/>
          <w:b/>
          <w:bCs w:val="0"/>
          <w:color w:val="auto"/>
          <w:sz w:val="44"/>
          <w:szCs w:val="44"/>
          <w:lang w:eastAsia="zh-CN"/>
        </w:rPr>
        <w:t>济宁经济开发区马集镇</w:t>
      </w:r>
      <w:r>
        <w:rPr>
          <w:rFonts w:hint="eastAsia" w:ascii="方正小标宋简体" w:hAnsi="方正小标宋简体" w:eastAsia="方正小标宋简体" w:cs="方正小标宋简体"/>
          <w:b/>
          <w:bCs w:val="0"/>
          <w:color w:val="auto"/>
          <w:sz w:val="44"/>
          <w:szCs w:val="44"/>
        </w:rPr>
        <w:t>202</w:t>
      </w:r>
      <w:r>
        <w:rPr>
          <w:rFonts w:hint="eastAsia" w:ascii="方正小标宋简体" w:hAnsi="方正小标宋简体" w:eastAsia="方正小标宋简体" w:cs="方正小标宋简体"/>
          <w:b/>
          <w:bCs w:val="0"/>
          <w:color w:val="auto"/>
          <w:sz w:val="44"/>
          <w:szCs w:val="44"/>
          <w:lang w:val="en-US" w:eastAsia="zh-CN"/>
        </w:rPr>
        <w:t>5</w:t>
      </w:r>
      <w:r>
        <w:rPr>
          <w:rFonts w:hint="eastAsia" w:ascii="方正小标宋简体" w:hAnsi="方正小标宋简体" w:eastAsia="方正小标宋简体" w:cs="方正小标宋简体"/>
          <w:b/>
          <w:bCs w:val="0"/>
          <w:color w:val="auto"/>
          <w:sz w:val="44"/>
          <w:szCs w:val="44"/>
        </w:rPr>
        <w:t>年政府信息公开工作年度报告</w:t>
      </w:r>
    </w:p>
    <w:p w14:paraId="02A011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bCs w:val="0"/>
          <w:i w:val="0"/>
          <w:iCs w:val="0"/>
          <w:caps w:val="0"/>
          <w:color w:val="auto"/>
          <w:spacing w:val="0"/>
          <w:sz w:val="24"/>
          <w:szCs w:val="24"/>
        </w:rPr>
      </w:pPr>
    </w:p>
    <w:p w14:paraId="3BF87E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本报告由马集镇按照《中华人民共和国政府信息公开条例》（以下简称《条例》）和《中华人民共和国政府信息公开工作年度报告格式》（国办公开办函〔2021〕30号）要求编制。</w:t>
      </w:r>
    </w:p>
    <w:p w14:paraId="3212FD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27130F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本报告所列数据的统计期限自2025年1月1日起至2025年12月31日止。本报告电子版可在“</w:t>
      </w:r>
      <w:r>
        <w:rPr>
          <w:rFonts w:hint="eastAsia" w:ascii="Times New Roman" w:hAnsi="Times New Roman" w:eastAsia="仿宋_GB2312" w:cs="Times New Roman"/>
          <w:b/>
          <w:bCs w:val="0"/>
          <w:color w:val="auto"/>
          <w:kern w:val="2"/>
          <w:sz w:val="32"/>
          <w:szCs w:val="32"/>
          <w:lang w:val="en-US" w:eastAsia="zh-CN" w:bidi="ar-SA"/>
        </w:rPr>
        <w:t>济宁经济开发区</w:t>
      </w:r>
      <w:r>
        <w:rPr>
          <w:rFonts w:hint="default" w:ascii="Times New Roman" w:hAnsi="Times New Roman" w:eastAsia="仿宋_GB2312" w:cs="Times New Roman"/>
          <w:b/>
          <w:bCs w:val="0"/>
          <w:color w:val="auto"/>
          <w:kern w:val="2"/>
          <w:sz w:val="32"/>
          <w:szCs w:val="32"/>
          <w:lang w:val="en-US" w:eastAsia="zh-CN" w:bidi="ar-SA"/>
        </w:rPr>
        <w:t>”</w:t>
      </w:r>
      <w:r>
        <w:rPr>
          <w:rFonts w:hint="eastAsia" w:ascii="Times New Roman" w:hAnsi="Times New Roman" w:eastAsia="仿宋_GB2312" w:cs="Times New Roman"/>
          <w:b/>
          <w:bCs w:val="0"/>
          <w:color w:val="auto"/>
          <w:kern w:val="2"/>
          <w:sz w:val="32"/>
          <w:szCs w:val="32"/>
          <w:lang w:val="en-US" w:eastAsia="zh-CN" w:bidi="ar-SA"/>
        </w:rPr>
        <w:t>管委会</w:t>
      </w:r>
      <w:r>
        <w:rPr>
          <w:rFonts w:hint="default" w:ascii="Times New Roman" w:hAnsi="Times New Roman" w:eastAsia="仿宋_GB2312" w:cs="Times New Roman"/>
          <w:b/>
          <w:bCs w:val="0"/>
          <w:color w:val="auto"/>
          <w:kern w:val="2"/>
          <w:sz w:val="32"/>
          <w:szCs w:val="32"/>
          <w:lang w:val="en-US" w:eastAsia="zh-CN" w:bidi="ar-SA"/>
        </w:rPr>
        <w:t>门户网站（http://jkq.jining.gov.cn/）查阅或下载。如对本报告有疑问，请与马集镇联系（地址：济宁经开区马集镇云山路9号，联系电话：0537-6456412）。</w:t>
      </w:r>
    </w:p>
    <w:p w14:paraId="5C0380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一、总体情况</w:t>
      </w:r>
    </w:p>
    <w:p w14:paraId="6C591C10">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eastAsia="仿宋_GB2312"/>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2025年</w:t>
      </w:r>
      <w:r>
        <w:rPr>
          <w:rFonts w:hint="default"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我</w:t>
      </w:r>
      <w:r>
        <w:rPr>
          <w:rFonts w:hint="default" w:ascii="Times New Roman" w:hAnsi="Times New Roman" w:eastAsia="仿宋_GB2312" w:cs="Times New Roman"/>
          <w:b/>
          <w:bCs w:val="0"/>
          <w:color w:val="auto"/>
          <w:sz w:val="32"/>
          <w:szCs w:val="32"/>
          <w:lang w:val="en-US" w:eastAsia="zh-CN"/>
        </w:rPr>
        <w:t>镇深入落实《中华人民共和国政府信息公开条例》及开发区管委会</w:t>
      </w:r>
      <w:r>
        <w:rPr>
          <w:rFonts w:hint="eastAsia" w:ascii="Times New Roman" w:hAnsi="Times New Roman" w:eastAsia="仿宋_GB2312" w:cs="Times New Roman"/>
          <w:b/>
          <w:bCs w:val="0"/>
          <w:color w:val="auto"/>
          <w:sz w:val="32"/>
          <w:szCs w:val="32"/>
          <w:lang w:val="en-US" w:eastAsia="zh-CN"/>
        </w:rPr>
        <w:t>相关</w:t>
      </w:r>
      <w:r>
        <w:rPr>
          <w:rFonts w:hint="default" w:ascii="Times New Roman" w:hAnsi="Times New Roman" w:eastAsia="仿宋_GB2312" w:cs="Times New Roman"/>
          <w:b/>
          <w:bCs w:val="0"/>
          <w:color w:val="auto"/>
          <w:sz w:val="32"/>
          <w:szCs w:val="32"/>
          <w:lang w:val="en-US" w:eastAsia="zh-CN"/>
        </w:rPr>
        <w:t>部署要求，坚持“以公开为常态、不公开为例外”</w:t>
      </w:r>
      <w:r>
        <w:rPr>
          <w:rFonts w:hint="eastAsia" w:ascii="Times New Roman" w:hAnsi="Times New Roman" w:eastAsia="仿宋_GB2312" w:cs="Times New Roman"/>
          <w:b/>
          <w:bCs w:val="0"/>
          <w:color w:val="auto"/>
          <w:sz w:val="32"/>
          <w:szCs w:val="32"/>
          <w:lang w:val="en-US" w:eastAsia="zh-CN"/>
        </w:rPr>
        <w:t>原则</w:t>
      </w:r>
      <w:r>
        <w:rPr>
          <w:rFonts w:hint="default" w:ascii="Times New Roman" w:hAnsi="Times New Roman" w:eastAsia="仿宋_GB2312" w:cs="Times New Roman"/>
          <w:b/>
          <w:bCs w:val="0"/>
          <w:color w:val="auto"/>
          <w:sz w:val="32"/>
          <w:szCs w:val="32"/>
          <w:lang w:val="en-US" w:eastAsia="zh-CN"/>
        </w:rPr>
        <w:t>，聚焦乡村振兴、民生保障等核心职能与群众急难愁盼诉求，统筹推进主动公开、依申请公开等重点工作，持续提升信息公开规范化、标准化水平，为全镇高质量发展提供坚实保障。</w:t>
      </w:r>
    </w:p>
    <w:p w14:paraId="5B54585C">
      <w:pPr>
        <w:numPr>
          <w:ilvl w:val="0"/>
          <w:numId w:val="1"/>
        </w:numPr>
        <w:ind w:firstLine="643" w:firstLineChars="200"/>
        <w:rPr>
          <w:rStyle w:val="7"/>
          <w:rFonts w:ascii="方正楷体简体" w:hAnsi="方正楷体简体" w:eastAsia="方正楷体简体" w:cs="方正楷体简体"/>
          <w:b/>
          <w:bCs w:val="0"/>
          <w:i w:val="0"/>
          <w:iCs w:val="0"/>
          <w:caps w:val="0"/>
          <w:color w:val="auto"/>
          <w:spacing w:val="0"/>
          <w:sz w:val="32"/>
          <w:szCs w:val="32"/>
        </w:rPr>
      </w:pPr>
      <w:r>
        <w:rPr>
          <w:rStyle w:val="7"/>
          <w:rFonts w:hint="eastAsia" w:ascii="方正楷体简体" w:hAnsi="方正楷体简体" w:eastAsia="方正楷体简体" w:cs="方正楷体简体"/>
          <w:b/>
          <w:bCs w:val="0"/>
          <w:i w:val="0"/>
          <w:iCs w:val="0"/>
          <w:caps w:val="0"/>
          <w:color w:val="auto"/>
          <w:spacing w:val="0"/>
          <w:sz w:val="32"/>
          <w:szCs w:val="32"/>
          <w:lang w:eastAsia="zh-CN"/>
        </w:rPr>
        <w:t>主动公开</w:t>
      </w:r>
      <w:r>
        <w:rPr>
          <w:rStyle w:val="7"/>
          <w:rFonts w:ascii="方正楷体简体" w:hAnsi="方正楷体简体" w:eastAsia="方正楷体简体" w:cs="方正楷体简体"/>
          <w:b/>
          <w:bCs w:val="0"/>
          <w:i w:val="0"/>
          <w:iCs w:val="0"/>
          <w:caps w:val="0"/>
          <w:color w:val="auto"/>
          <w:spacing w:val="0"/>
          <w:sz w:val="32"/>
          <w:szCs w:val="32"/>
        </w:rPr>
        <w:t>情况</w:t>
      </w:r>
    </w:p>
    <w:p w14:paraId="6F20EDF7">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202</w:t>
      </w:r>
      <w:r>
        <w:rPr>
          <w:rFonts w:hint="eastAsia" w:ascii="Times New Roman" w:hAnsi="Times New Roman" w:eastAsia="仿宋_GB2312" w:cs="Times New Roman"/>
          <w:b/>
          <w:bCs w:val="0"/>
          <w:color w:val="auto"/>
          <w:sz w:val="32"/>
          <w:szCs w:val="32"/>
          <w:highlight w:val="none"/>
          <w:lang w:val="en-US" w:eastAsia="zh-CN"/>
        </w:rPr>
        <w:t>5</w:t>
      </w:r>
      <w:r>
        <w:rPr>
          <w:rFonts w:hint="default" w:ascii="Times New Roman" w:hAnsi="Times New Roman" w:eastAsia="仿宋_GB2312" w:cs="Times New Roman"/>
          <w:b/>
          <w:bCs w:val="0"/>
          <w:color w:val="auto"/>
          <w:sz w:val="32"/>
          <w:szCs w:val="32"/>
          <w:highlight w:val="none"/>
          <w:lang w:val="en-US" w:eastAsia="zh-CN"/>
        </w:rPr>
        <w:t>年</w:t>
      </w:r>
      <w:r>
        <w:rPr>
          <w:rFonts w:hint="eastAsia" w:ascii="Times New Roman" w:hAnsi="Times New Roman" w:eastAsia="仿宋_GB2312" w:cs="Times New Roman"/>
          <w:b/>
          <w:bCs w:val="0"/>
          <w:color w:val="auto"/>
          <w:sz w:val="32"/>
          <w:szCs w:val="32"/>
          <w:highlight w:val="none"/>
          <w:lang w:val="en-US" w:eastAsia="zh-CN"/>
        </w:rPr>
        <w:t>度，</w:t>
      </w:r>
      <w:r>
        <w:rPr>
          <w:rFonts w:hint="default" w:ascii="Times New Roman" w:hAnsi="Times New Roman" w:eastAsia="仿宋_GB2312" w:cs="Times New Roman"/>
          <w:b/>
          <w:bCs w:val="0"/>
          <w:color w:val="auto"/>
          <w:sz w:val="32"/>
          <w:szCs w:val="32"/>
          <w:highlight w:val="none"/>
          <w:lang w:val="en-US" w:eastAsia="zh-CN"/>
        </w:rPr>
        <w:t>全</w:t>
      </w:r>
      <w:r>
        <w:rPr>
          <w:rFonts w:hint="eastAsia" w:ascii="Times New Roman" w:hAnsi="Times New Roman" w:eastAsia="仿宋_GB2312" w:cs="Times New Roman"/>
          <w:b/>
          <w:bCs w:val="0"/>
          <w:color w:val="auto"/>
          <w:sz w:val="32"/>
          <w:szCs w:val="32"/>
          <w:highlight w:val="none"/>
          <w:lang w:val="en-US" w:eastAsia="zh-CN"/>
        </w:rPr>
        <w:t>镇</w:t>
      </w:r>
      <w:r>
        <w:rPr>
          <w:rFonts w:hint="default" w:ascii="Times New Roman" w:hAnsi="Times New Roman" w:eastAsia="仿宋_GB2312" w:cs="Times New Roman"/>
          <w:b/>
          <w:bCs w:val="0"/>
          <w:color w:val="auto"/>
          <w:sz w:val="32"/>
          <w:szCs w:val="32"/>
          <w:highlight w:val="none"/>
          <w:lang w:val="en-US" w:eastAsia="zh-CN"/>
        </w:rPr>
        <w:t>主动公开政府信息共计11</w:t>
      </w:r>
      <w:r>
        <w:rPr>
          <w:rFonts w:hint="eastAsia" w:ascii="Times New Roman" w:hAnsi="Times New Roman" w:eastAsia="仿宋_GB2312" w:cs="Times New Roman"/>
          <w:b/>
          <w:bCs w:val="0"/>
          <w:color w:val="auto"/>
          <w:sz w:val="32"/>
          <w:szCs w:val="32"/>
          <w:highlight w:val="none"/>
          <w:lang w:val="en-US" w:eastAsia="zh-CN"/>
        </w:rPr>
        <w:t>6</w:t>
      </w:r>
      <w:r>
        <w:rPr>
          <w:rFonts w:hint="default" w:ascii="Times New Roman" w:hAnsi="Times New Roman" w:eastAsia="仿宋_GB2312" w:cs="Times New Roman"/>
          <w:b/>
          <w:bCs w:val="0"/>
          <w:color w:val="auto"/>
          <w:sz w:val="32"/>
          <w:szCs w:val="32"/>
          <w:highlight w:val="none"/>
          <w:lang w:val="en-US" w:eastAsia="zh-CN"/>
        </w:rPr>
        <w:t>条。</w:t>
      </w:r>
      <w:r>
        <w:rPr>
          <w:rFonts w:hint="eastAsia" w:ascii="Times New Roman" w:hAnsi="Times New Roman" w:eastAsia="仿宋_GB2312" w:cs="Times New Roman"/>
          <w:b/>
          <w:bCs w:val="0"/>
          <w:color w:val="auto"/>
          <w:sz w:val="32"/>
          <w:szCs w:val="32"/>
          <w:highlight w:val="none"/>
          <w:lang w:val="en-US" w:eastAsia="zh-CN"/>
        </w:rPr>
        <w:t>其中，计划总结类</w:t>
      </w:r>
      <w:r>
        <w:rPr>
          <w:rFonts w:hint="default" w:ascii="Times New Roman" w:hAnsi="Times New Roman" w:eastAsia="仿宋_GB2312" w:cs="Times New Roman"/>
          <w:b/>
          <w:bCs w:val="0"/>
          <w:color w:val="auto"/>
          <w:sz w:val="32"/>
          <w:szCs w:val="32"/>
          <w:highlight w:val="none"/>
          <w:lang w:val="en-US" w:eastAsia="zh-CN"/>
        </w:rPr>
        <w:t>信息1</w:t>
      </w:r>
      <w:r>
        <w:rPr>
          <w:rFonts w:hint="eastAsia" w:ascii="Times New Roman" w:hAnsi="Times New Roman" w:eastAsia="仿宋_GB2312" w:cs="Times New Roman"/>
          <w:b/>
          <w:bCs w:val="0"/>
          <w:color w:val="auto"/>
          <w:sz w:val="32"/>
          <w:szCs w:val="32"/>
          <w:highlight w:val="none"/>
          <w:lang w:val="en-US" w:eastAsia="zh-CN"/>
        </w:rPr>
        <w:t>5</w:t>
      </w:r>
      <w:r>
        <w:rPr>
          <w:rFonts w:hint="default" w:ascii="Times New Roman" w:hAnsi="Times New Roman" w:eastAsia="仿宋_GB2312" w:cs="Times New Roman"/>
          <w:b/>
          <w:bCs w:val="0"/>
          <w:color w:val="auto"/>
          <w:sz w:val="32"/>
          <w:szCs w:val="32"/>
          <w:highlight w:val="none"/>
          <w:lang w:val="en-US" w:eastAsia="zh-CN"/>
        </w:rPr>
        <w:t>条、工作动态</w:t>
      </w:r>
      <w:r>
        <w:rPr>
          <w:rFonts w:hint="eastAsia" w:ascii="Times New Roman" w:hAnsi="Times New Roman" w:eastAsia="仿宋_GB2312" w:cs="Times New Roman"/>
          <w:b/>
          <w:bCs w:val="0"/>
          <w:color w:val="auto"/>
          <w:sz w:val="32"/>
          <w:szCs w:val="32"/>
          <w:highlight w:val="none"/>
          <w:lang w:val="en-US" w:eastAsia="zh-CN"/>
        </w:rPr>
        <w:t>类</w:t>
      </w:r>
      <w:r>
        <w:rPr>
          <w:rFonts w:hint="default" w:ascii="Times New Roman" w:hAnsi="Times New Roman" w:eastAsia="仿宋_GB2312" w:cs="Times New Roman"/>
          <w:b/>
          <w:bCs w:val="0"/>
          <w:color w:val="auto"/>
          <w:sz w:val="32"/>
          <w:szCs w:val="32"/>
          <w:highlight w:val="none"/>
          <w:lang w:val="en-US" w:eastAsia="zh-CN"/>
        </w:rPr>
        <w:t>信息5</w:t>
      </w:r>
      <w:r>
        <w:rPr>
          <w:rFonts w:hint="eastAsia" w:ascii="Times New Roman" w:hAnsi="Times New Roman" w:eastAsia="仿宋_GB2312" w:cs="Times New Roman"/>
          <w:b/>
          <w:bCs w:val="0"/>
          <w:color w:val="auto"/>
          <w:sz w:val="32"/>
          <w:szCs w:val="32"/>
          <w:highlight w:val="none"/>
          <w:lang w:val="en-US" w:eastAsia="zh-CN"/>
        </w:rPr>
        <w:t>5</w:t>
      </w:r>
      <w:r>
        <w:rPr>
          <w:rFonts w:hint="default" w:ascii="Times New Roman" w:hAnsi="Times New Roman" w:eastAsia="仿宋_GB2312" w:cs="Times New Roman"/>
          <w:b/>
          <w:bCs w:val="0"/>
          <w:color w:val="auto"/>
          <w:sz w:val="32"/>
          <w:szCs w:val="32"/>
          <w:highlight w:val="none"/>
          <w:lang w:val="en-US" w:eastAsia="zh-CN"/>
        </w:rPr>
        <w:t>条、其他</w:t>
      </w:r>
      <w:r>
        <w:rPr>
          <w:rFonts w:hint="eastAsia" w:ascii="Times New Roman" w:hAnsi="Times New Roman" w:eastAsia="仿宋_GB2312" w:cs="Times New Roman"/>
          <w:b/>
          <w:bCs w:val="0"/>
          <w:color w:val="auto"/>
          <w:sz w:val="32"/>
          <w:szCs w:val="32"/>
          <w:highlight w:val="none"/>
          <w:lang w:val="en-US" w:eastAsia="zh-CN"/>
        </w:rPr>
        <w:t>类</w:t>
      </w:r>
      <w:r>
        <w:rPr>
          <w:rFonts w:hint="default" w:ascii="Times New Roman" w:hAnsi="Times New Roman" w:eastAsia="仿宋_GB2312" w:cs="Times New Roman"/>
          <w:b/>
          <w:bCs w:val="0"/>
          <w:color w:val="auto"/>
          <w:sz w:val="32"/>
          <w:szCs w:val="32"/>
          <w:highlight w:val="none"/>
          <w:lang w:val="en-US" w:eastAsia="zh-CN"/>
        </w:rPr>
        <w:t>信息4</w:t>
      </w:r>
      <w:r>
        <w:rPr>
          <w:rFonts w:hint="eastAsia" w:ascii="Times New Roman" w:hAnsi="Times New Roman" w:eastAsia="仿宋_GB2312" w:cs="Times New Roman"/>
          <w:b/>
          <w:bCs w:val="0"/>
          <w:color w:val="auto"/>
          <w:sz w:val="32"/>
          <w:szCs w:val="32"/>
          <w:highlight w:val="none"/>
          <w:lang w:val="en-US" w:eastAsia="zh-CN"/>
        </w:rPr>
        <w:t>6</w:t>
      </w:r>
      <w:r>
        <w:rPr>
          <w:rFonts w:hint="default" w:ascii="Times New Roman" w:hAnsi="Times New Roman" w:eastAsia="仿宋_GB2312" w:cs="Times New Roman"/>
          <w:b/>
          <w:bCs w:val="0"/>
          <w:color w:val="auto"/>
          <w:sz w:val="32"/>
          <w:szCs w:val="32"/>
          <w:highlight w:val="none"/>
          <w:lang w:val="en-US" w:eastAsia="zh-CN"/>
        </w:rPr>
        <w:t>条</w:t>
      </w:r>
      <w:r>
        <w:rPr>
          <w:rFonts w:hint="eastAsia" w:ascii="Times New Roman" w:hAnsi="Times New Roman" w:eastAsia="仿宋_GB2312" w:cs="Times New Roman"/>
          <w:b/>
          <w:bCs w:val="0"/>
          <w:color w:val="auto"/>
          <w:sz w:val="32"/>
          <w:szCs w:val="32"/>
          <w:highlight w:val="none"/>
          <w:lang w:val="en-US" w:eastAsia="zh-CN"/>
        </w:rPr>
        <w:t>，全面覆盖政务工作关键领域。</w:t>
      </w:r>
    </w:p>
    <w:p w14:paraId="2B2F20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drawing>
          <wp:inline distT="0" distB="0" distL="114300" distR="114300">
            <wp:extent cx="4870450" cy="2926080"/>
            <wp:effectExtent l="0" t="0" r="6350" b="762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5"/>
                    <a:stretch>
                      <a:fillRect/>
                    </a:stretch>
                  </pic:blipFill>
                  <pic:spPr>
                    <a:xfrm>
                      <a:off x="0" y="0"/>
                      <a:ext cx="4870450" cy="2926080"/>
                    </a:xfrm>
                    <a:prstGeom prst="rect">
                      <a:avLst/>
                    </a:prstGeom>
                  </pic:spPr>
                </pic:pic>
              </a:graphicData>
            </a:graphic>
          </wp:inline>
        </w:drawing>
      </w:r>
    </w:p>
    <w:p w14:paraId="2D139B75">
      <w:pPr>
        <w:numPr>
          <w:ilvl w:val="0"/>
          <w:numId w:val="1"/>
        </w:numPr>
        <w:ind w:firstLine="643" w:firstLineChars="200"/>
        <w:rPr>
          <w:rStyle w:val="7"/>
          <w:rFonts w:hint="eastAsia" w:ascii="方正楷体简体" w:hAnsi="方正楷体简体" w:eastAsia="方正楷体简体" w:cs="方正楷体简体"/>
          <w:b/>
          <w:bCs w:val="0"/>
          <w:i w:val="0"/>
          <w:iCs w:val="0"/>
          <w:caps w:val="0"/>
          <w:color w:val="auto"/>
          <w:spacing w:val="0"/>
          <w:sz w:val="32"/>
          <w:szCs w:val="32"/>
          <w:highlight w:val="none"/>
          <w:lang w:eastAsia="zh-CN"/>
        </w:rPr>
      </w:pPr>
      <w:r>
        <w:rPr>
          <w:rStyle w:val="7"/>
          <w:rFonts w:hint="eastAsia" w:ascii="方正楷体简体" w:hAnsi="方正楷体简体" w:eastAsia="方正楷体简体" w:cs="方正楷体简体"/>
          <w:b/>
          <w:bCs w:val="0"/>
          <w:i w:val="0"/>
          <w:iCs w:val="0"/>
          <w:caps w:val="0"/>
          <w:color w:val="auto"/>
          <w:spacing w:val="0"/>
          <w:sz w:val="32"/>
          <w:szCs w:val="32"/>
          <w:highlight w:val="none"/>
          <w:lang w:eastAsia="zh-CN"/>
        </w:rPr>
        <w:t>依申请公开情况</w:t>
      </w:r>
    </w:p>
    <w:p w14:paraId="6793C52E">
      <w:pPr>
        <w:numPr>
          <w:ilvl w:val="0"/>
          <w:numId w:val="0"/>
        </w:numPr>
        <w:ind w:firstLine="643" w:firstLineChars="200"/>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202</w:t>
      </w:r>
      <w:r>
        <w:rPr>
          <w:rFonts w:hint="eastAsia" w:ascii="Times New Roman" w:hAnsi="Times New Roman" w:eastAsia="仿宋_GB2312" w:cs="Times New Roman"/>
          <w:b/>
          <w:bCs w:val="0"/>
          <w:color w:val="auto"/>
          <w:sz w:val="32"/>
          <w:szCs w:val="32"/>
          <w:highlight w:val="none"/>
          <w:lang w:val="en-US" w:eastAsia="zh-CN"/>
        </w:rPr>
        <w:t>5</w:t>
      </w:r>
      <w:r>
        <w:rPr>
          <w:rFonts w:hint="default" w:ascii="Times New Roman" w:hAnsi="Times New Roman" w:eastAsia="仿宋_GB2312" w:cs="Times New Roman"/>
          <w:b/>
          <w:bCs w:val="0"/>
          <w:color w:val="auto"/>
          <w:sz w:val="32"/>
          <w:szCs w:val="32"/>
          <w:highlight w:val="none"/>
          <w:lang w:val="en-US" w:eastAsia="zh-CN"/>
        </w:rPr>
        <w:t>年</w:t>
      </w:r>
      <w:r>
        <w:rPr>
          <w:rFonts w:hint="eastAsia" w:ascii="Times New Roman" w:hAnsi="Times New Roman" w:eastAsia="仿宋_GB2312" w:cs="Times New Roman"/>
          <w:b/>
          <w:bCs w:val="0"/>
          <w:color w:val="auto"/>
          <w:sz w:val="32"/>
          <w:szCs w:val="32"/>
          <w:highlight w:val="none"/>
          <w:lang w:val="en-US" w:eastAsia="zh-CN"/>
        </w:rPr>
        <w:t>，全镇</w:t>
      </w:r>
      <w:r>
        <w:rPr>
          <w:rFonts w:hint="default" w:ascii="Times New Roman" w:hAnsi="Times New Roman" w:eastAsia="仿宋_GB2312" w:cs="Times New Roman"/>
          <w:b/>
          <w:bCs w:val="0"/>
          <w:color w:val="auto"/>
          <w:sz w:val="32"/>
          <w:szCs w:val="32"/>
          <w:highlight w:val="none"/>
          <w:lang w:val="en-US" w:eastAsia="zh-CN"/>
        </w:rPr>
        <w:t>共</w:t>
      </w:r>
      <w:r>
        <w:rPr>
          <w:rFonts w:hint="eastAsia" w:ascii="Times New Roman" w:hAnsi="Times New Roman" w:eastAsia="仿宋_GB2312" w:cs="Times New Roman"/>
          <w:b/>
          <w:bCs w:val="0"/>
          <w:color w:val="auto"/>
          <w:sz w:val="32"/>
          <w:szCs w:val="32"/>
          <w:highlight w:val="none"/>
          <w:lang w:val="en-US" w:eastAsia="zh-CN"/>
        </w:rPr>
        <w:t>接收</w:t>
      </w:r>
      <w:r>
        <w:rPr>
          <w:rFonts w:hint="default" w:ascii="Times New Roman" w:hAnsi="Times New Roman" w:eastAsia="仿宋_GB2312" w:cs="Times New Roman"/>
          <w:b/>
          <w:bCs w:val="0"/>
          <w:color w:val="auto"/>
          <w:sz w:val="32"/>
          <w:szCs w:val="32"/>
          <w:highlight w:val="none"/>
          <w:lang w:val="en-US" w:eastAsia="zh-CN"/>
        </w:rPr>
        <w:t>政府信息公开申请</w:t>
      </w:r>
      <w:r>
        <w:rPr>
          <w:rFonts w:hint="eastAsia" w:ascii="Times New Roman" w:hAnsi="Times New Roman" w:eastAsia="仿宋_GB2312" w:cs="Times New Roman"/>
          <w:b/>
          <w:bCs w:val="0"/>
          <w:color w:val="auto"/>
          <w:sz w:val="32"/>
          <w:szCs w:val="32"/>
          <w:highlight w:val="none"/>
          <w:lang w:val="en-US" w:eastAsia="zh-CN"/>
        </w:rPr>
        <w:t>0</w:t>
      </w:r>
      <w:r>
        <w:rPr>
          <w:rFonts w:hint="default" w:ascii="Times New Roman" w:hAnsi="Times New Roman" w:eastAsia="仿宋_GB2312" w:cs="Times New Roman"/>
          <w:b/>
          <w:bCs w:val="0"/>
          <w:color w:val="auto"/>
          <w:sz w:val="32"/>
          <w:szCs w:val="32"/>
          <w:highlight w:val="none"/>
          <w:lang w:val="en-US" w:eastAsia="zh-CN"/>
        </w:rPr>
        <w:t>件，受理</w:t>
      </w:r>
      <w:r>
        <w:rPr>
          <w:rFonts w:hint="eastAsia" w:ascii="Times New Roman" w:hAnsi="Times New Roman" w:eastAsia="仿宋_GB2312" w:cs="Times New Roman"/>
          <w:b/>
          <w:bCs w:val="0"/>
          <w:color w:val="auto"/>
          <w:sz w:val="32"/>
          <w:szCs w:val="32"/>
          <w:highlight w:val="none"/>
          <w:lang w:val="en-US" w:eastAsia="zh-CN"/>
        </w:rPr>
        <w:t>0</w:t>
      </w:r>
      <w:r>
        <w:rPr>
          <w:rFonts w:hint="default" w:ascii="Times New Roman" w:hAnsi="Times New Roman" w:eastAsia="仿宋_GB2312" w:cs="Times New Roman"/>
          <w:b/>
          <w:bCs w:val="0"/>
          <w:color w:val="auto"/>
          <w:sz w:val="32"/>
          <w:szCs w:val="32"/>
          <w:highlight w:val="none"/>
          <w:lang w:val="en-US" w:eastAsia="zh-CN"/>
        </w:rPr>
        <w:t>件，按时答复</w:t>
      </w:r>
      <w:r>
        <w:rPr>
          <w:rFonts w:hint="eastAsia" w:ascii="Times New Roman" w:hAnsi="Times New Roman" w:eastAsia="仿宋_GB2312" w:cs="Times New Roman"/>
          <w:b/>
          <w:bCs w:val="0"/>
          <w:color w:val="auto"/>
          <w:sz w:val="32"/>
          <w:szCs w:val="32"/>
          <w:highlight w:val="none"/>
          <w:lang w:val="en-US" w:eastAsia="zh-CN"/>
        </w:rPr>
        <w:t>0</w:t>
      </w:r>
      <w:r>
        <w:rPr>
          <w:rFonts w:hint="default" w:ascii="Times New Roman" w:hAnsi="Times New Roman" w:eastAsia="仿宋_GB2312" w:cs="Times New Roman"/>
          <w:b/>
          <w:bCs w:val="0"/>
          <w:color w:val="auto"/>
          <w:sz w:val="32"/>
          <w:szCs w:val="32"/>
          <w:highlight w:val="none"/>
          <w:lang w:val="en-US" w:eastAsia="zh-CN"/>
        </w:rPr>
        <w:t>件，未发生任何收费情况。</w:t>
      </w:r>
    </w:p>
    <w:p w14:paraId="0FB0ABFC">
      <w:pPr>
        <w:numPr>
          <w:ilvl w:val="0"/>
          <w:numId w:val="0"/>
        </w:numPr>
        <w:jc w:val="center"/>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drawing>
          <wp:inline distT="0" distB="0" distL="114300" distR="114300">
            <wp:extent cx="4839970" cy="2755265"/>
            <wp:effectExtent l="0" t="0" r="17780" b="6985"/>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6"/>
                    <a:stretch>
                      <a:fillRect/>
                    </a:stretch>
                  </pic:blipFill>
                  <pic:spPr>
                    <a:xfrm>
                      <a:off x="0" y="0"/>
                      <a:ext cx="4839970" cy="2755265"/>
                    </a:xfrm>
                    <a:prstGeom prst="rect">
                      <a:avLst/>
                    </a:prstGeom>
                  </pic:spPr>
                </pic:pic>
              </a:graphicData>
            </a:graphic>
          </wp:inline>
        </w:drawing>
      </w:r>
    </w:p>
    <w:p w14:paraId="3C22B5E4">
      <w:pPr>
        <w:numPr>
          <w:ilvl w:val="0"/>
          <w:numId w:val="1"/>
        </w:numPr>
        <w:ind w:firstLine="643" w:firstLineChars="200"/>
        <w:rPr>
          <w:rStyle w:val="7"/>
          <w:rFonts w:hint="eastAsia" w:ascii="方正楷体简体" w:hAnsi="方正楷体简体" w:eastAsia="方正楷体简体" w:cs="方正楷体简体"/>
          <w:b/>
          <w:bCs w:val="0"/>
          <w:i w:val="0"/>
          <w:iCs w:val="0"/>
          <w:caps w:val="0"/>
          <w:color w:val="auto"/>
          <w:spacing w:val="0"/>
          <w:sz w:val="32"/>
          <w:szCs w:val="32"/>
          <w:lang w:eastAsia="zh-CN"/>
        </w:rPr>
      </w:pPr>
      <w:r>
        <w:rPr>
          <w:rStyle w:val="7"/>
          <w:rFonts w:hint="eastAsia" w:ascii="方正楷体简体" w:hAnsi="方正楷体简体" w:eastAsia="方正楷体简体" w:cs="方正楷体简体"/>
          <w:b/>
          <w:bCs w:val="0"/>
          <w:i w:val="0"/>
          <w:iCs w:val="0"/>
          <w:caps w:val="0"/>
          <w:color w:val="auto"/>
          <w:spacing w:val="0"/>
          <w:sz w:val="32"/>
          <w:szCs w:val="32"/>
          <w:lang w:eastAsia="zh-CN"/>
        </w:rPr>
        <w:t>政府信息管理情况</w:t>
      </w:r>
    </w:p>
    <w:p w14:paraId="4183FA44">
      <w:pPr>
        <w:numPr>
          <w:ilvl w:val="0"/>
          <w:numId w:val="0"/>
        </w:numPr>
        <w:ind w:firstLine="643" w:firstLineChars="200"/>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马集镇始终将政府信息公开作为推进依法行政、建设法治政府的重要举措，成立由镇长任组长、分管党委副书记任副组长，镇级各站所主要负责人及各村党支部书记为成员的政务公开工作领导小组，明确专人专职负责全镇政务公开日常工作。2025年累计召开政务公开专题部署会议4次，进一步夯实工作推进根基。坚持将制度建设贯穿工作全过程，围绕经济社会发展重点任务和群众关切，持续完善政府信息全生命周期管理制度，动态优化公开目录，稳步推进政务公开制度体系建设。</w:t>
      </w:r>
    </w:p>
    <w:p w14:paraId="0A8ACCCD">
      <w:pPr>
        <w:numPr>
          <w:ilvl w:val="0"/>
          <w:numId w:val="1"/>
        </w:numPr>
        <w:ind w:firstLine="643" w:firstLineChars="200"/>
        <w:rPr>
          <w:rStyle w:val="7"/>
          <w:rFonts w:hint="eastAsia" w:ascii="方正楷体简体" w:hAnsi="方正楷体简体" w:eastAsia="方正楷体简体" w:cs="方正楷体简体"/>
          <w:b/>
          <w:bCs w:val="0"/>
          <w:i w:val="0"/>
          <w:iCs w:val="0"/>
          <w:caps w:val="0"/>
          <w:color w:val="auto"/>
          <w:spacing w:val="0"/>
          <w:sz w:val="32"/>
          <w:szCs w:val="32"/>
          <w:lang w:eastAsia="zh-CN"/>
        </w:rPr>
      </w:pPr>
      <w:r>
        <w:rPr>
          <w:rStyle w:val="7"/>
          <w:rFonts w:hint="eastAsia" w:ascii="方正楷体简体" w:hAnsi="方正楷体简体" w:eastAsia="方正楷体简体" w:cs="方正楷体简体"/>
          <w:b/>
          <w:bCs w:val="0"/>
          <w:i w:val="0"/>
          <w:iCs w:val="0"/>
          <w:caps w:val="0"/>
          <w:color w:val="auto"/>
          <w:spacing w:val="0"/>
          <w:sz w:val="32"/>
          <w:szCs w:val="32"/>
          <w:lang w:eastAsia="zh-CN"/>
        </w:rPr>
        <w:t>政府信息公开平台建设情况</w:t>
      </w:r>
    </w:p>
    <w:p w14:paraId="34EE1319">
      <w:pPr>
        <w:numPr>
          <w:ilvl w:val="0"/>
          <w:numId w:val="0"/>
        </w:numPr>
        <w:ind w:firstLine="643" w:firstLineChars="200"/>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政府信息公开平台建设持续深化，致力于打造一个透明、便捷、高效的公开渠道。为此，不断丰富网站内容建设，确保信息的全面性、准确性和及时性。在政务公开的重点内容聚焦方面，始终坚持问题导向，围绕社会热点和民生关切，加大信息公开力度。通过主动回应社会关切，及时解疑释惑，增强了政府的公信力和执行力，为推动构建阳光型、服务型政府奠定了坚实基础。</w:t>
      </w:r>
    </w:p>
    <w:p w14:paraId="79917997">
      <w:pPr>
        <w:numPr>
          <w:ilvl w:val="0"/>
          <w:numId w:val="1"/>
        </w:numPr>
        <w:ind w:firstLine="643" w:firstLineChars="200"/>
        <w:rPr>
          <w:rStyle w:val="7"/>
          <w:rFonts w:hint="eastAsia" w:ascii="方正楷体简体" w:hAnsi="方正楷体简体" w:eastAsia="方正楷体简体" w:cs="方正楷体简体"/>
          <w:b/>
          <w:bCs w:val="0"/>
          <w:i w:val="0"/>
          <w:iCs w:val="0"/>
          <w:caps w:val="0"/>
          <w:color w:val="auto"/>
          <w:spacing w:val="0"/>
          <w:sz w:val="32"/>
          <w:szCs w:val="32"/>
          <w:lang w:eastAsia="zh-CN"/>
        </w:rPr>
      </w:pPr>
      <w:r>
        <w:rPr>
          <w:rStyle w:val="7"/>
          <w:rFonts w:hint="eastAsia" w:ascii="方正楷体简体" w:hAnsi="方正楷体简体" w:eastAsia="方正楷体简体" w:cs="方正楷体简体"/>
          <w:b/>
          <w:bCs w:val="0"/>
          <w:i w:val="0"/>
          <w:iCs w:val="0"/>
          <w:caps w:val="0"/>
          <w:color w:val="auto"/>
          <w:spacing w:val="0"/>
          <w:sz w:val="32"/>
          <w:szCs w:val="32"/>
          <w:lang w:eastAsia="zh-CN"/>
        </w:rPr>
        <w:t>监督保障情况</w:t>
      </w:r>
    </w:p>
    <w:p w14:paraId="40C567C9">
      <w:pPr>
        <w:numPr>
          <w:ilvl w:val="0"/>
          <w:numId w:val="0"/>
        </w:numPr>
        <w:ind w:firstLine="643" w:firstLineChars="200"/>
        <w:rPr>
          <w:rFonts w:hint="eastAsia" w:ascii="仿宋_GB2312" w:eastAsia="仿宋_GB2312"/>
          <w:b/>
          <w:bCs w:val="0"/>
          <w:color w:val="auto"/>
          <w:sz w:val="32"/>
          <w:szCs w:val="32"/>
          <w:lang w:val="en-US" w:eastAsia="zh-CN"/>
        </w:rPr>
      </w:pPr>
      <w:r>
        <w:rPr>
          <w:rFonts w:hint="eastAsia" w:ascii="仿宋_GB2312" w:eastAsia="仿宋_GB2312"/>
          <w:b/>
          <w:bCs w:val="0"/>
          <w:color w:val="auto"/>
          <w:sz w:val="32"/>
          <w:szCs w:val="32"/>
          <w:lang w:val="en-US" w:eastAsia="zh-CN"/>
        </w:rPr>
        <w:t>一是严格落实工作任务，重点抓实主动公开、依申请公开等核心工作。二是强化监督评议，所有公开信息自觉接受行政领导机关、社会群众和新闻媒体监督，充分发挥社会评议功能，让权力在阳光下运行。三是健全责任追究机制，按照“谁主管、谁负责”原则，对公开内容严格审核把关，定期巡查整改，切实压实工作责任，确保各项工作落到实处。</w:t>
      </w:r>
    </w:p>
    <w:p w14:paraId="14D331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二、主动公开政府信息情况</w:t>
      </w:r>
    </w:p>
    <w:p w14:paraId="04DEA1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bCs w:val="0"/>
          <w:i w:val="0"/>
          <w:iCs w:val="0"/>
          <w:caps w:val="0"/>
          <w:color w:val="auto"/>
          <w:spacing w:val="0"/>
          <w:sz w:val="24"/>
          <w:szCs w:val="24"/>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708C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F7C4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第二十条第（一）项</w:t>
            </w:r>
          </w:p>
        </w:tc>
      </w:tr>
      <w:tr w14:paraId="03C2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5140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5F38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1F47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0104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现行有效件数</w:t>
            </w:r>
          </w:p>
        </w:tc>
      </w:tr>
      <w:tr w14:paraId="3D9E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650F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3A323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bCs w:val="0"/>
                <w:color w:val="auto"/>
                <w:lang w:val="en-US"/>
              </w:rPr>
            </w:pPr>
            <w:r>
              <w:rPr>
                <w:rFonts w:hint="eastAsia" w:ascii="宋体" w:hAnsi="宋体" w:eastAsia="宋体" w:cs="宋体"/>
                <w:b/>
                <w:bCs w:val="0"/>
                <w:color w:val="auto"/>
                <w:kern w:val="0"/>
                <w:sz w:val="20"/>
                <w:szCs w:val="20"/>
                <w:lang w:val="en-US" w:eastAsia="zh-CN" w:bidi="ar"/>
              </w:rPr>
              <w:t>　　</w:t>
            </w: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DE658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bCs w:val="0"/>
                <w:color w:val="auto"/>
                <w:lang w:val="en-US"/>
              </w:rPr>
            </w:pPr>
            <w:r>
              <w:rPr>
                <w:rFonts w:hint="eastAsia" w:ascii="宋体" w:hAnsi="宋体" w:eastAsia="宋体" w:cs="宋体"/>
                <w:b/>
                <w:bCs w:val="0"/>
                <w:color w:val="auto"/>
                <w:kern w:val="0"/>
                <w:sz w:val="20"/>
                <w:szCs w:val="20"/>
                <w:lang w:val="en-US" w:eastAsia="zh-CN" w:bidi="ar"/>
              </w:rPr>
              <w:t> 　</w:t>
            </w: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396FA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bCs w:val="0"/>
                <w:color w:val="auto"/>
                <w:lang w:val="en-US"/>
              </w:rPr>
            </w:pPr>
            <w:r>
              <w:rPr>
                <w:rFonts w:ascii="Calibri" w:hAnsi="Calibri" w:eastAsia="宋体" w:cs="Calibri"/>
                <w:b/>
                <w:bCs w:val="0"/>
                <w:color w:val="auto"/>
                <w:kern w:val="0"/>
                <w:sz w:val="21"/>
                <w:szCs w:val="21"/>
                <w:lang w:val="en-US" w:eastAsia="zh-CN" w:bidi="ar"/>
              </w:rPr>
              <w:t> </w:t>
            </w:r>
            <w:r>
              <w:rPr>
                <w:rFonts w:hint="eastAsia" w:cs="Calibri"/>
                <w:b/>
                <w:bCs w:val="0"/>
                <w:color w:val="auto"/>
                <w:kern w:val="0"/>
                <w:sz w:val="21"/>
                <w:szCs w:val="21"/>
                <w:lang w:val="en-US" w:eastAsia="zh-CN" w:bidi="ar"/>
              </w:rPr>
              <w:t>0</w:t>
            </w:r>
          </w:p>
        </w:tc>
      </w:tr>
      <w:tr w14:paraId="5EB4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8A4D0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B91E3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bCs w:val="0"/>
                <w:color w:val="auto"/>
                <w:lang w:val="en-US"/>
              </w:rPr>
            </w:pPr>
            <w:r>
              <w:rPr>
                <w:rFonts w:hint="eastAsia" w:ascii="宋体" w:hAnsi="宋体" w:eastAsia="宋体" w:cs="宋体"/>
                <w:b/>
                <w:bCs w:val="0"/>
                <w:color w:val="auto"/>
                <w:kern w:val="0"/>
                <w:sz w:val="20"/>
                <w:szCs w:val="20"/>
                <w:lang w:val="en-US" w:eastAsia="zh-CN" w:bidi="ar"/>
              </w:rPr>
              <w:t>　　</w:t>
            </w: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19DF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bCs w:val="0"/>
                <w:color w:val="auto"/>
                <w:lang w:val="en-US"/>
              </w:rPr>
            </w:pPr>
            <w:r>
              <w:rPr>
                <w:rFonts w:hint="eastAsia" w:ascii="宋体" w:hAnsi="宋体" w:eastAsia="宋体" w:cs="宋体"/>
                <w:b/>
                <w:bCs w:val="0"/>
                <w:color w:val="auto"/>
                <w:kern w:val="0"/>
                <w:sz w:val="20"/>
                <w:szCs w:val="20"/>
                <w:lang w:val="en-US" w:eastAsia="zh-CN" w:bidi="ar"/>
              </w:rPr>
              <w:t> 　</w:t>
            </w: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6FF2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bCs w:val="0"/>
                <w:color w:val="auto"/>
                <w:lang w:val="en-US"/>
              </w:rPr>
            </w:pPr>
            <w:r>
              <w:rPr>
                <w:rFonts w:hint="default" w:ascii="Calibri" w:hAnsi="Calibri" w:eastAsia="宋体" w:cs="Calibri"/>
                <w:b/>
                <w:bCs w:val="0"/>
                <w:color w:val="auto"/>
                <w:kern w:val="0"/>
                <w:sz w:val="21"/>
                <w:szCs w:val="21"/>
                <w:lang w:val="en-US" w:eastAsia="zh-CN" w:bidi="ar"/>
              </w:rPr>
              <w:t> </w:t>
            </w:r>
            <w:r>
              <w:rPr>
                <w:rFonts w:hint="eastAsia" w:cs="Calibri"/>
                <w:b/>
                <w:bCs w:val="0"/>
                <w:color w:val="auto"/>
                <w:kern w:val="0"/>
                <w:sz w:val="21"/>
                <w:szCs w:val="21"/>
                <w:lang w:val="en-US" w:eastAsia="zh-CN" w:bidi="ar"/>
              </w:rPr>
              <w:t>0</w:t>
            </w:r>
          </w:p>
        </w:tc>
      </w:tr>
      <w:tr w14:paraId="414E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B4F6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第二十条第（五）项</w:t>
            </w:r>
          </w:p>
        </w:tc>
      </w:tr>
      <w:tr w14:paraId="734B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196D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D468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1E37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0970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C386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bCs w:val="0"/>
                <w:color w:val="auto"/>
                <w:lang w:val="en-US"/>
              </w:rPr>
            </w:pPr>
            <w:r>
              <w:rPr>
                <w:rFonts w:hint="default" w:ascii="Calibri" w:hAnsi="Calibri" w:eastAsia="宋体" w:cs="Calibri"/>
                <w:b/>
                <w:bCs w:val="0"/>
                <w:color w:val="auto"/>
                <w:kern w:val="0"/>
                <w:sz w:val="21"/>
                <w:szCs w:val="21"/>
                <w:lang w:val="en-US" w:eastAsia="zh-CN" w:bidi="ar"/>
              </w:rPr>
              <w:t> </w:t>
            </w:r>
            <w:r>
              <w:rPr>
                <w:rFonts w:hint="eastAsia" w:cs="Calibri"/>
                <w:b/>
                <w:bCs w:val="0"/>
                <w:color w:val="auto"/>
                <w:kern w:val="0"/>
                <w:sz w:val="21"/>
                <w:szCs w:val="21"/>
                <w:lang w:val="en-US" w:eastAsia="zh-CN" w:bidi="ar"/>
              </w:rPr>
              <w:t>0</w:t>
            </w:r>
          </w:p>
        </w:tc>
      </w:tr>
      <w:tr w14:paraId="48FB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D8E2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第二十条第（六）项</w:t>
            </w:r>
          </w:p>
        </w:tc>
      </w:tr>
      <w:tr w14:paraId="33E0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EAD17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36287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57F2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E1F0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09CE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bCs w:val="0"/>
                <w:color w:val="auto"/>
                <w:lang w:val="en-US"/>
              </w:rPr>
            </w:pPr>
            <w:r>
              <w:rPr>
                <w:rFonts w:hint="eastAsia" w:ascii="宋体" w:hAnsi="宋体" w:eastAsia="宋体" w:cs="宋体"/>
                <w:b/>
                <w:bCs w:val="0"/>
                <w:color w:val="auto"/>
                <w:kern w:val="0"/>
                <w:sz w:val="20"/>
                <w:szCs w:val="20"/>
                <w:lang w:val="en-US" w:eastAsia="zh-CN" w:bidi="ar"/>
              </w:rPr>
              <w:t>　</w:t>
            </w:r>
            <w:r>
              <w:rPr>
                <w:rFonts w:hint="eastAsia" w:ascii="宋体" w:hAnsi="宋体" w:cs="宋体"/>
                <w:b/>
                <w:bCs w:val="0"/>
                <w:color w:val="auto"/>
                <w:kern w:val="0"/>
                <w:sz w:val="20"/>
                <w:szCs w:val="20"/>
                <w:lang w:val="en-US" w:eastAsia="zh-CN" w:bidi="ar"/>
              </w:rPr>
              <w:t>0</w:t>
            </w:r>
          </w:p>
        </w:tc>
      </w:tr>
      <w:tr w14:paraId="1295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8F2C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F991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bCs w:val="0"/>
                <w:color w:val="auto"/>
                <w:lang w:val="en-US"/>
              </w:rPr>
            </w:pPr>
            <w:r>
              <w:rPr>
                <w:rFonts w:hint="eastAsia" w:ascii="宋体" w:hAnsi="宋体" w:eastAsia="宋体" w:cs="宋体"/>
                <w:b/>
                <w:bCs w:val="0"/>
                <w:color w:val="auto"/>
                <w:kern w:val="0"/>
                <w:sz w:val="20"/>
                <w:szCs w:val="20"/>
                <w:lang w:val="en-US" w:eastAsia="zh-CN" w:bidi="ar"/>
              </w:rPr>
              <w:t>　</w:t>
            </w:r>
            <w:r>
              <w:rPr>
                <w:rFonts w:hint="eastAsia" w:ascii="宋体" w:hAnsi="宋体" w:cs="宋体"/>
                <w:b/>
                <w:bCs w:val="0"/>
                <w:color w:val="auto"/>
                <w:kern w:val="0"/>
                <w:sz w:val="20"/>
                <w:szCs w:val="20"/>
                <w:lang w:val="en-US" w:eastAsia="zh-CN" w:bidi="ar"/>
              </w:rPr>
              <w:t>0</w:t>
            </w:r>
          </w:p>
        </w:tc>
      </w:tr>
      <w:tr w14:paraId="1FA4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84E6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第二十条第（八）项</w:t>
            </w:r>
          </w:p>
        </w:tc>
      </w:tr>
      <w:tr w14:paraId="3C6E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C4EA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64F7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14:paraId="5FE0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7005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EEAEA2A">
            <w:pPr>
              <w:rPr>
                <w:rFonts w:hint="eastAsia" w:ascii="宋体" w:eastAsia="宋体"/>
                <w:b/>
                <w:bCs w:val="0"/>
                <w:color w:val="auto"/>
                <w:sz w:val="24"/>
                <w:szCs w:val="24"/>
                <w:lang w:val="en-US" w:eastAsia="zh-CN"/>
              </w:rPr>
            </w:pPr>
            <w:r>
              <w:rPr>
                <w:rFonts w:hint="eastAsia" w:ascii="宋体"/>
                <w:b/>
                <w:bCs w:val="0"/>
                <w:color w:val="auto"/>
                <w:sz w:val="24"/>
                <w:szCs w:val="24"/>
                <w:lang w:val="en-US" w:eastAsia="zh-CN"/>
              </w:rPr>
              <w:t>0</w:t>
            </w:r>
          </w:p>
        </w:tc>
      </w:tr>
    </w:tbl>
    <w:p w14:paraId="1088FB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b/>
          <w:bCs w:val="0"/>
          <w:i w:val="0"/>
          <w:iCs w:val="0"/>
          <w:caps w:val="0"/>
          <w:color w:val="auto"/>
          <w:spacing w:val="0"/>
          <w:sz w:val="32"/>
          <w:szCs w:val="32"/>
          <w:shd w:val="clear" w:color="auto" w:fill="FFFFFF"/>
        </w:rPr>
      </w:pPr>
    </w:p>
    <w:p w14:paraId="1224EE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三、收到和处理政府信息公开申请情况</w:t>
      </w:r>
    </w:p>
    <w:p w14:paraId="206674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bCs w:val="0"/>
          <w:i w:val="0"/>
          <w:iCs w:val="0"/>
          <w:caps w:val="0"/>
          <w:color w:val="auto"/>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14:paraId="354510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41C79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ascii="楷体" w:hAnsi="楷体" w:eastAsia="楷体" w:cs="楷体"/>
                <w:b/>
                <w:bCs w:val="0"/>
                <w:color w:val="auto"/>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79C45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申请人情况</w:t>
            </w:r>
          </w:p>
        </w:tc>
      </w:tr>
      <w:tr w14:paraId="18C6D9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695BA2E">
            <w:pPr>
              <w:rPr>
                <w:rFonts w:hint="eastAsia" w:ascii="宋体"/>
                <w:b/>
                <w:bCs w:val="0"/>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6E0CB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514DC4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3AC8A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337671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B168443">
            <w:pPr>
              <w:rPr>
                <w:rFonts w:hint="eastAsia" w:ascii="宋体"/>
                <w:b/>
                <w:bCs w:val="0"/>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71538C0B">
            <w:pPr>
              <w:rPr>
                <w:rFonts w:hint="eastAsia" w:ascii="宋体"/>
                <w:b/>
                <w:bCs w:val="0"/>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8CA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商业</w:t>
            </w:r>
          </w:p>
          <w:p w14:paraId="2886E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9A3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科研</w:t>
            </w:r>
          </w:p>
          <w:p w14:paraId="63592A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13D73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74715A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法律服务机构</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3CA59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4BF05136">
            <w:pPr>
              <w:rPr>
                <w:rFonts w:hint="eastAsia" w:ascii="宋体"/>
                <w:b/>
                <w:bCs w:val="0"/>
                <w:color w:val="auto"/>
                <w:sz w:val="24"/>
                <w:szCs w:val="24"/>
              </w:rPr>
            </w:pPr>
          </w:p>
        </w:tc>
      </w:tr>
      <w:tr w14:paraId="2412B4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6AD1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C0FF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F34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677A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1B5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D14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2122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1C15A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59FDF6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E984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957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954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00A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C2B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2832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B1CA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0AA7B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r>
      <w:tr w14:paraId="1376C8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6A9283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7B6920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841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78E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4CB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B27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46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50B5E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064C9F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cs="Calibri"/>
                <w:b/>
                <w:bCs w:val="0"/>
                <w:color w:val="auto"/>
                <w:kern w:val="0"/>
                <w:sz w:val="20"/>
                <w:szCs w:val="20"/>
                <w:lang w:val="en-US" w:eastAsia="zh-CN" w:bidi="ar"/>
              </w:rPr>
              <w:t>0</w:t>
            </w:r>
          </w:p>
        </w:tc>
      </w:tr>
      <w:tr w14:paraId="3EF153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A4A9ED7">
            <w:pPr>
              <w:rPr>
                <w:rFonts w:hint="eastAsia" w:ascii="宋体"/>
                <w:b/>
                <w:bCs w:val="0"/>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60B56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（二）部分公开</w:t>
            </w:r>
            <w:r>
              <w:rPr>
                <w:rFonts w:hint="eastAsia" w:ascii="楷体" w:hAnsi="楷体" w:eastAsia="楷体" w:cs="楷体"/>
                <w:b/>
                <w:bCs w:val="0"/>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08D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1F1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2973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787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891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3F38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9E5D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26AD20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CDE4660">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77B476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6CB40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509B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F0D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5CC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84DA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6A7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2E9E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58E83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2D6117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945AF8C">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1DE7F67">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93CC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089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679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3794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746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F04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4D0B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63D2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3CCD7A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A64D53E">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0C953C3">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DF24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394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F1C9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BD26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104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EF2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5344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23B82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12062B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4924E85">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3504BC5">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D90DE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46E7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9D9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F4E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F7C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9DF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4AE7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475B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1AAC5A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43B5FA9">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AC05E5F">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61F97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530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930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FAE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FF9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8563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9C39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3B61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1AEEBD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8FADD3D">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9D136F3">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AAB8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A87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18B7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F18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45CE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FAB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9220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F189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6E4A7E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ECE5774">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6657019">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C86AA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561F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D380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A6F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A193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C1A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6F7C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515F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29F117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255C01E">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2D6F763">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438C9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48F6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830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05E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5FD6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5B48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A444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ED01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05F43F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329CB25">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042C57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7E857C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C8E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7B0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278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588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9D77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94FE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BE391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5504A6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1979091">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691DD80">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6D9A5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D616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DFB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4649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9C6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B148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9943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3BE5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736B52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92A09F7">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3F8CE9D">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1385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E43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F79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CE1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4CF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D12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CB13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8AAE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2C7396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7FC13FF">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54FFB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5AA55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02E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077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AE79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0B6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7EAA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5F4D0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7DF6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3C3B5C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022F3B4">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D1026F3">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17AD8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8B9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00D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335C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844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5E6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529C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6C1C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6E48E2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3B6A705">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70CDF33">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C299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C037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52F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3B0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4120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E598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7026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0145B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6ED4F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4520F75">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72420EE">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FF371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FCB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47E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76AA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BF3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D91C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9B27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31801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1335F9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AAD4736">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2ED761B">
            <w:pPr>
              <w:rPr>
                <w:rFonts w:hint="eastAsia" w:ascii="宋体"/>
                <w:b/>
                <w:bCs w:val="0"/>
                <w:color w:val="auto"/>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14:paraId="5CF76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2275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b/>
                <w:bCs w:val="0"/>
                <w:color w:val="auto"/>
                <w:lang w:val="en-US" w:eastAsia="zh-CN"/>
              </w:rPr>
            </w:pPr>
            <w:r>
              <w:rPr>
                <w:rFonts w:hint="eastAsia"/>
                <w:b/>
                <w:bCs w:val="0"/>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BC58B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631C0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0CB05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0695B1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14:paraId="4F11A9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14:paraId="077B4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616104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19BCA57">
            <w:pPr>
              <w:rPr>
                <w:rFonts w:hint="eastAsia" w:ascii="宋体"/>
                <w:b/>
                <w:bCs w:val="0"/>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10C60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2B1A9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5935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0883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D55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ADD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937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77BCF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604DB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320657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69969D6">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4917D90D">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715DE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938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729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CFC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9A2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6D6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CAFBD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7BFD3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2EF897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10103CD">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0D48091F">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7CB08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669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08C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77A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2229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17A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695E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2919B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r>
      <w:tr w14:paraId="02C218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5FC11C1">
            <w:pPr>
              <w:rPr>
                <w:rFonts w:hint="eastAsia" w:ascii="宋体"/>
                <w:b/>
                <w:bCs w:val="0"/>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12C0FB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A56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16A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C68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9AD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8A9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BDE25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1440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p>
        </w:tc>
      </w:tr>
      <w:tr w14:paraId="5D5FBE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56EF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724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5DD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CA5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A3B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2A8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B8CFD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1688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eastAsia="宋体"/>
                <w:b/>
                <w:bCs w:val="0"/>
                <w:color w:val="auto"/>
                <w:sz w:val="24"/>
                <w:szCs w:val="24"/>
                <w:lang w:val="en-US" w:eastAsia="zh-CN"/>
              </w:rPr>
            </w:pPr>
            <w:r>
              <w:rPr>
                <w:rFonts w:hint="eastAsia" w:eastAsia="宋体" w:cs="Calibri"/>
                <w:b/>
                <w:bCs w:val="0"/>
                <w:color w:val="auto"/>
                <w:kern w:val="0"/>
                <w:sz w:val="20"/>
                <w:szCs w:val="20"/>
                <w:lang w:val="en-US" w:eastAsia="zh-CN" w:bidi="ar"/>
              </w:rPr>
              <w:t>0</w:t>
            </w:r>
          </w:p>
        </w:tc>
      </w:tr>
    </w:tbl>
    <w:p w14:paraId="67600D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b/>
          <w:bCs w:val="0"/>
          <w:i w:val="0"/>
          <w:iCs w:val="0"/>
          <w:caps w:val="0"/>
          <w:color w:val="auto"/>
          <w:spacing w:val="0"/>
          <w:sz w:val="24"/>
          <w:szCs w:val="24"/>
        </w:rPr>
      </w:pPr>
    </w:p>
    <w:p w14:paraId="474CB7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四、政府信息公开行政复议、行政诉讼情况</w:t>
      </w:r>
    </w:p>
    <w:p w14:paraId="1BE861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b/>
          <w:bCs w:val="0"/>
          <w:i w:val="0"/>
          <w:iCs w:val="0"/>
          <w:caps w:val="0"/>
          <w:color w:val="auto"/>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A5D07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D80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20C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行政诉讼</w:t>
            </w:r>
          </w:p>
        </w:tc>
      </w:tr>
      <w:tr w14:paraId="66F4B3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9A32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69EF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E9D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7D4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F523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DE9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808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复议后起诉</w:t>
            </w:r>
          </w:p>
        </w:tc>
      </w:tr>
      <w:tr w14:paraId="47C287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DCF1F04">
            <w:pPr>
              <w:rPr>
                <w:rFonts w:hint="eastAsia" w:ascii="宋体"/>
                <w:b/>
                <w:bCs w:val="0"/>
                <w:color w:val="auto"/>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F88BD83">
            <w:pPr>
              <w:rPr>
                <w:rFonts w:hint="eastAsia" w:ascii="宋体"/>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E1FCDF">
            <w:pPr>
              <w:rPr>
                <w:rFonts w:hint="eastAsia" w:ascii="宋体"/>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958F43">
            <w:pPr>
              <w:rPr>
                <w:rFonts w:hint="eastAsia" w:ascii="宋体"/>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A0EFFD">
            <w:pPr>
              <w:rPr>
                <w:rFonts w:hint="eastAsia" w:ascii="宋体"/>
                <w:b/>
                <w:bCs w:val="0"/>
                <w:color w:val="auto"/>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5C77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E1D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78B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4F6C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3BE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1C67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BE0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771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73B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FA0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4D2BD2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7B2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EE0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8EC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B0C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45CA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9F1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4E9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90C3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D8D2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174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105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DD3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607F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A8FC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75E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eastAsia="宋体"/>
                <w:b/>
                <w:bCs w:val="0"/>
                <w:color w:val="auto"/>
                <w:sz w:val="24"/>
                <w:szCs w:val="24"/>
                <w:lang w:val="en-US" w:eastAsia="zh-CN"/>
              </w:rPr>
            </w:pPr>
            <w:r>
              <w:rPr>
                <w:rFonts w:hint="eastAsia" w:ascii="黑体" w:hAnsi="宋体" w:eastAsia="黑体" w:cs="黑体"/>
                <w:b/>
                <w:bCs w:val="0"/>
                <w:color w:val="auto"/>
                <w:kern w:val="0"/>
                <w:sz w:val="20"/>
                <w:szCs w:val="20"/>
                <w:lang w:val="en-US" w:eastAsia="zh-CN" w:bidi="ar"/>
              </w:rPr>
              <w:t>0</w:t>
            </w:r>
          </w:p>
        </w:tc>
      </w:tr>
    </w:tbl>
    <w:p w14:paraId="454173EB">
      <w:pPr>
        <w:keepNext w:val="0"/>
        <w:keepLines w:val="0"/>
        <w:widowControl/>
        <w:suppressLineNumbers w:val="0"/>
        <w:jc w:val="left"/>
        <w:rPr>
          <w:b/>
          <w:bCs w:val="0"/>
          <w:color w:val="auto"/>
        </w:rPr>
      </w:pPr>
    </w:p>
    <w:p w14:paraId="123915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五、存在的主要问题及改进情况</w:t>
      </w:r>
    </w:p>
    <w:p w14:paraId="1218B408">
      <w:pPr>
        <w:numPr>
          <w:ilvl w:val="0"/>
          <w:numId w:val="0"/>
        </w:numPr>
        <w:ind w:firstLine="643" w:firstLineChars="200"/>
        <w:rPr>
          <w:rStyle w:val="7"/>
          <w:rFonts w:hint="eastAsia" w:ascii="方正楷体简体" w:hAnsi="方正楷体简体" w:eastAsia="方正楷体简体" w:cs="方正楷体简体"/>
          <w:b/>
          <w:bCs w:val="0"/>
          <w:i w:val="0"/>
          <w:iCs w:val="0"/>
          <w:caps w:val="0"/>
          <w:color w:val="auto"/>
          <w:spacing w:val="0"/>
          <w:sz w:val="32"/>
          <w:szCs w:val="32"/>
          <w:lang w:eastAsia="zh-CN"/>
        </w:rPr>
      </w:pPr>
      <w:r>
        <w:rPr>
          <w:rStyle w:val="7"/>
          <w:rFonts w:hint="eastAsia" w:ascii="方正楷体简体" w:hAnsi="方正楷体简体" w:eastAsia="方正楷体简体" w:cs="方正楷体简体"/>
          <w:b/>
          <w:bCs w:val="0"/>
          <w:i w:val="0"/>
          <w:iCs w:val="0"/>
          <w:caps w:val="0"/>
          <w:color w:val="auto"/>
          <w:spacing w:val="0"/>
          <w:sz w:val="32"/>
          <w:szCs w:val="32"/>
          <w:lang w:eastAsia="zh-CN"/>
        </w:rPr>
        <w:t>（一）存在的主要问题</w:t>
      </w:r>
    </w:p>
    <w:p w14:paraId="3F47A9D0">
      <w:pPr>
        <w:ind w:firstLine="643" w:firstLineChars="200"/>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1.公开渠道协同性不强。线上门户网站专栏与线下村级公开栏、微信网格群等渠道存在信息推送不同步、内容不一致问题，线下渠道信息更新频次不均衡，部分村级公开栏维护不及时。</w:t>
      </w:r>
    </w:p>
    <w:p w14:paraId="5282F082">
      <w:pPr>
        <w:ind w:firstLine="643" w:firstLineChars="200"/>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2.队伍专业能力有待提升。政务公开工作人员及村级信息员对公开范围界定、信息审核规范、依申请公开办理流程等专业知识掌握不够扎实，业务能力难以完全适配工作规范化要求。</w:t>
      </w:r>
    </w:p>
    <w:p w14:paraId="75DA04F1">
      <w:pPr>
        <w:numPr>
          <w:ilvl w:val="0"/>
          <w:numId w:val="0"/>
        </w:numPr>
        <w:ind w:firstLine="643" w:firstLineChars="200"/>
        <w:rPr>
          <w:rStyle w:val="7"/>
          <w:rFonts w:hint="eastAsia" w:ascii="方正楷体简体" w:hAnsi="方正楷体简体" w:eastAsia="方正楷体简体" w:cs="方正楷体简体"/>
          <w:b/>
          <w:bCs w:val="0"/>
          <w:i w:val="0"/>
          <w:iCs w:val="0"/>
          <w:caps w:val="0"/>
          <w:color w:val="auto"/>
          <w:spacing w:val="0"/>
          <w:sz w:val="32"/>
          <w:szCs w:val="32"/>
          <w:lang w:eastAsia="zh-CN"/>
        </w:rPr>
      </w:pPr>
      <w:r>
        <w:rPr>
          <w:rStyle w:val="7"/>
          <w:rFonts w:hint="eastAsia" w:ascii="方正楷体简体" w:hAnsi="方正楷体简体" w:eastAsia="方正楷体简体" w:cs="方正楷体简体"/>
          <w:b/>
          <w:bCs w:val="0"/>
          <w:i w:val="0"/>
          <w:iCs w:val="0"/>
          <w:caps w:val="0"/>
          <w:color w:val="auto"/>
          <w:spacing w:val="0"/>
          <w:sz w:val="32"/>
          <w:szCs w:val="32"/>
          <w:lang w:eastAsia="zh-CN"/>
        </w:rPr>
        <w:t>（二）整改措施</w:t>
      </w:r>
    </w:p>
    <w:p w14:paraId="584F0685">
      <w:pPr>
        <w:ind w:firstLine="643" w:firstLineChars="200"/>
        <w:rPr>
          <w:rFonts w:hint="eastAsia" w:ascii="仿宋_GB2312" w:eastAsia="仿宋_GB2312"/>
          <w:b/>
          <w:bCs w:val="0"/>
          <w:color w:val="auto"/>
          <w:sz w:val="32"/>
          <w:szCs w:val="32"/>
          <w:lang w:eastAsia="zh-CN"/>
        </w:rPr>
      </w:pPr>
      <w:r>
        <w:rPr>
          <w:rFonts w:hint="eastAsia" w:ascii="Times New Roman" w:hAnsi="Times New Roman" w:eastAsia="仿宋_GB2312" w:cs="Times New Roman"/>
          <w:b/>
          <w:bCs w:val="0"/>
          <w:color w:val="auto"/>
          <w:sz w:val="32"/>
          <w:szCs w:val="32"/>
          <w:lang w:val="en-US" w:eastAsia="zh-CN"/>
        </w:rPr>
        <w:t>1.强化协同提升渠道效能。制定《马集镇政务公开渠道协同管理办法》，明确线上线下渠道信息发布、更新、维护责任主体及时限要求，建立信息发布“三级审核”和同步推送机制，确保各渠道信息同源、同步、同质。安排专人负责村级公开栏巡查督导，实行“每月一检查、每季一通报”制度，定期开展村级公开栏专项检查，督促整改信息更新不及时问题，及时更换破损公开栏展板，提升线下渠道信息更新及时性与规范性。</w:t>
      </w:r>
    </w:p>
    <w:p w14:paraId="35F65A82">
      <w:pPr>
        <w:ind w:firstLine="643" w:firstLineChars="200"/>
        <w:rPr>
          <w:rFonts w:hint="eastAsia"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加强培训夯实队伍基础。开展政务公开业务专题培训，覆盖镇级各站所工作人员及村级信息员，重点培训《中华人民共和国政府信息公开条例》解读、公开目录动态调整、依申请公开办理规范、信息审核要点等内容。同时，建立“一对一”帮带机制，由镇级业务骨干对村级信息员进行实操指导，有效提升了工作人员的专业素养和业务能力。</w:t>
      </w:r>
    </w:p>
    <w:p w14:paraId="6F34D2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六、其他需要报告的事项</w:t>
      </w:r>
    </w:p>
    <w:p w14:paraId="01B0FC87">
      <w:pPr>
        <w:ind w:firstLine="643" w:firstLineChars="200"/>
        <w:rPr>
          <w:rFonts w:ascii="仿宋_GB2312" w:eastAsia="仿宋_GB2312"/>
          <w:b/>
          <w:bCs w:val="0"/>
          <w:color w:val="auto"/>
          <w:sz w:val="32"/>
          <w:szCs w:val="32"/>
        </w:rPr>
      </w:pPr>
      <w:r>
        <w:rPr>
          <w:rFonts w:hint="eastAsia" w:ascii="仿宋_GB2312" w:eastAsia="仿宋_GB2312"/>
          <w:b/>
          <w:bCs w:val="0"/>
          <w:color w:val="auto"/>
          <w:sz w:val="32"/>
          <w:szCs w:val="32"/>
          <w:lang w:eastAsia="zh-CN"/>
        </w:rPr>
        <w:t>（一）</w:t>
      </w:r>
      <w:r>
        <w:rPr>
          <w:rFonts w:ascii="仿宋_GB2312" w:eastAsia="仿宋_GB2312"/>
          <w:b/>
          <w:bCs w:val="0"/>
          <w:color w:val="auto"/>
          <w:sz w:val="32"/>
          <w:szCs w:val="32"/>
        </w:rPr>
        <w:t>依据《政府信息公开信息处理费管理办法》收取信息处理费的情况</w:t>
      </w:r>
    </w:p>
    <w:p w14:paraId="1D09AFFC">
      <w:pPr>
        <w:ind w:firstLine="643" w:firstLineChars="200"/>
        <w:rPr>
          <w:rFonts w:hint="eastAsia" w:ascii="仿宋_GB2312" w:eastAsia="仿宋_GB2312"/>
          <w:b/>
          <w:bCs w:val="0"/>
          <w:color w:val="auto"/>
          <w:sz w:val="32"/>
          <w:szCs w:val="32"/>
          <w:lang w:eastAsia="zh-CN"/>
        </w:rPr>
      </w:pPr>
      <w:r>
        <w:rPr>
          <w:rFonts w:hint="eastAsia" w:ascii="仿宋_GB2312" w:eastAsia="仿宋_GB2312"/>
          <w:b/>
          <w:bCs w:val="0"/>
          <w:color w:val="auto"/>
          <w:sz w:val="32"/>
          <w:szCs w:val="32"/>
          <w:lang w:eastAsia="zh-CN"/>
        </w:rPr>
        <w:t>无</w:t>
      </w:r>
    </w:p>
    <w:p w14:paraId="1D251A1E">
      <w:pPr>
        <w:ind w:firstLine="643" w:firstLineChars="200"/>
        <w:rPr>
          <w:rFonts w:ascii="仿宋_GB2312" w:eastAsia="仿宋_GB2312"/>
          <w:b/>
          <w:bCs w:val="0"/>
          <w:color w:val="auto"/>
          <w:sz w:val="32"/>
          <w:szCs w:val="32"/>
        </w:rPr>
      </w:pPr>
      <w:r>
        <w:rPr>
          <w:rFonts w:hint="eastAsia" w:ascii="仿宋_GB2312" w:eastAsia="仿宋_GB2312"/>
          <w:b/>
          <w:bCs w:val="0"/>
          <w:color w:val="auto"/>
          <w:sz w:val="32"/>
          <w:szCs w:val="32"/>
          <w:lang w:eastAsia="zh-CN"/>
        </w:rPr>
        <w:t>（二）</w:t>
      </w:r>
      <w:r>
        <w:rPr>
          <w:rFonts w:ascii="仿宋_GB2312" w:eastAsia="仿宋_GB2312"/>
          <w:b/>
          <w:bCs w:val="0"/>
          <w:color w:val="auto"/>
          <w:sz w:val="32"/>
          <w:szCs w:val="32"/>
        </w:rPr>
        <w:t>本行政机关落实上级年度政务公开工作要点情况</w:t>
      </w:r>
    </w:p>
    <w:p w14:paraId="6839C936">
      <w:pPr>
        <w:ind w:firstLine="643" w:firstLineChars="200"/>
        <w:rPr>
          <w:rFonts w:hint="eastAsia" w:ascii="仿宋_GB2312" w:eastAsia="仿宋_GB2312"/>
          <w:b/>
          <w:bCs w:val="0"/>
          <w:color w:val="auto"/>
          <w:sz w:val="32"/>
          <w:szCs w:val="32"/>
          <w:lang w:eastAsia="zh-CN"/>
        </w:rPr>
      </w:pPr>
      <w:r>
        <w:rPr>
          <w:rFonts w:hint="eastAsia" w:ascii="仿宋_GB2312" w:eastAsia="仿宋_GB2312"/>
          <w:b/>
          <w:bCs w:val="0"/>
          <w:color w:val="auto"/>
          <w:sz w:val="32"/>
          <w:szCs w:val="32"/>
          <w:lang w:eastAsia="zh-CN"/>
        </w:rPr>
        <w:t>无</w:t>
      </w:r>
    </w:p>
    <w:p w14:paraId="05D3A4AC">
      <w:pPr>
        <w:numPr>
          <w:ilvl w:val="0"/>
          <w:numId w:val="2"/>
        </w:numPr>
        <w:ind w:firstLine="643" w:firstLineChars="200"/>
        <w:rPr>
          <w:rFonts w:ascii="仿宋_GB2312" w:eastAsia="仿宋_GB2312"/>
          <w:b/>
          <w:bCs w:val="0"/>
          <w:color w:val="auto"/>
          <w:sz w:val="32"/>
          <w:szCs w:val="32"/>
        </w:rPr>
      </w:pPr>
      <w:r>
        <w:rPr>
          <w:rFonts w:ascii="仿宋_GB2312" w:eastAsia="仿宋_GB2312"/>
          <w:b/>
          <w:bCs w:val="0"/>
          <w:color w:val="auto"/>
          <w:sz w:val="32"/>
          <w:szCs w:val="32"/>
        </w:rPr>
        <w:t>本行政机关人大代表建议和政协提案办理结果公开情况</w:t>
      </w:r>
    </w:p>
    <w:p w14:paraId="0766F77E">
      <w:pPr>
        <w:ind w:firstLine="643" w:firstLineChars="200"/>
        <w:rPr>
          <w:rFonts w:hint="eastAsia" w:ascii="仿宋_GB2312" w:eastAsia="仿宋_GB2312"/>
          <w:b/>
          <w:bCs w:val="0"/>
          <w:color w:val="auto"/>
          <w:sz w:val="32"/>
          <w:szCs w:val="32"/>
          <w:lang w:eastAsia="zh-CN"/>
        </w:rPr>
      </w:pPr>
      <w:r>
        <w:rPr>
          <w:rFonts w:hint="eastAsia" w:ascii="仿宋_GB2312" w:eastAsia="仿宋_GB2312"/>
          <w:b/>
          <w:bCs w:val="0"/>
          <w:color w:val="auto"/>
          <w:sz w:val="32"/>
          <w:szCs w:val="32"/>
          <w:lang w:eastAsia="zh-CN"/>
        </w:rPr>
        <w:t>无</w:t>
      </w:r>
    </w:p>
    <w:p w14:paraId="190348EA">
      <w:pPr>
        <w:numPr>
          <w:ilvl w:val="0"/>
          <w:numId w:val="2"/>
        </w:numPr>
        <w:ind w:left="0" w:leftChars="0" w:firstLine="643" w:firstLineChars="200"/>
        <w:rPr>
          <w:rFonts w:hint="eastAsia" w:ascii="仿宋_GB2312" w:eastAsia="仿宋_GB2312"/>
          <w:b/>
          <w:bCs w:val="0"/>
          <w:color w:val="auto"/>
          <w:sz w:val="32"/>
          <w:szCs w:val="32"/>
          <w:lang w:eastAsia="zh-CN"/>
        </w:rPr>
      </w:pPr>
      <w:r>
        <w:rPr>
          <w:rFonts w:ascii="仿宋_GB2312" w:eastAsia="仿宋_GB2312"/>
          <w:b/>
          <w:bCs w:val="0"/>
          <w:color w:val="auto"/>
          <w:sz w:val="32"/>
          <w:szCs w:val="32"/>
        </w:rPr>
        <w:t>本行政机关年度政务公开工作创新情况</w:t>
      </w:r>
      <w:bookmarkStart w:id="0" w:name="_GoBack"/>
      <w:bookmarkEnd w:id="0"/>
    </w:p>
    <w:p w14:paraId="15D5218F">
      <w:pPr>
        <w:ind w:firstLine="643" w:firstLineChars="200"/>
        <w:rPr>
          <w:rFonts w:hint="eastAsia" w:ascii="仿宋_GB2312" w:eastAsia="仿宋_GB2312"/>
          <w:b/>
          <w:bCs w:val="0"/>
          <w:color w:val="auto"/>
          <w:sz w:val="32"/>
          <w:szCs w:val="32"/>
          <w:lang w:eastAsia="zh-CN"/>
        </w:rPr>
      </w:pPr>
      <w:r>
        <w:rPr>
          <w:rFonts w:hint="eastAsia" w:ascii="仿宋_GB2312" w:eastAsia="仿宋_GB2312"/>
          <w:b/>
          <w:bCs w:val="0"/>
          <w:color w:val="auto"/>
          <w:sz w:val="32"/>
          <w:szCs w:val="32"/>
          <w:lang w:eastAsia="zh-CN"/>
        </w:rPr>
        <w:t>无</w:t>
      </w:r>
    </w:p>
    <w:p w14:paraId="6240F9C0">
      <w:pPr>
        <w:numPr>
          <w:ilvl w:val="0"/>
          <w:numId w:val="0"/>
        </w:numPr>
        <w:ind w:leftChars="200"/>
        <w:rPr>
          <w:rFonts w:hint="eastAsia" w:ascii="仿宋_GB2312" w:eastAsia="仿宋_GB2312"/>
          <w:b/>
          <w:bCs w:val="0"/>
          <w:color w:val="auto"/>
          <w:sz w:val="32"/>
          <w:szCs w:val="32"/>
          <w:lang w:eastAsia="zh-CN"/>
        </w:rPr>
      </w:pPr>
    </w:p>
    <w:p w14:paraId="5795EC23">
      <w:pPr>
        <w:rPr>
          <w:b/>
          <w:bCs w:val="0"/>
          <w:color w:val="auto"/>
        </w:rPr>
      </w:pPr>
    </w:p>
    <w:p w14:paraId="56D7E16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思源黑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简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altName w:val="方正楷体简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53B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30792E">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730792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E5ADD"/>
    <w:multiLevelType w:val="singleLevel"/>
    <w:tmpl w:val="D72E5ADD"/>
    <w:lvl w:ilvl="0" w:tentative="0">
      <w:start w:val="3"/>
      <w:numFmt w:val="chineseCounting"/>
      <w:suff w:val="nothing"/>
      <w:lvlText w:val="（%1）"/>
      <w:lvlJc w:val="left"/>
      <w:rPr>
        <w:rFonts w:hint="eastAsia"/>
      </w:rPr>
    </w:lvl>
  </w:abstractNum>
  <w:abstractNum w:abstractNumId="1">
    <w:nsid w:val="FACE6D5E"/>
    <w:multiLevelType w:val="singleLevel"/>
    <w:tmpl w:val="FACE6D5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FD29F"/>
    <w:rsid w:val="37FFD29F"/>
    <w:rsid w:val="53AD64C9"/>
    <w:rsid w:val="5EFF9323"/>
    <w:rsid w:val="6B3F787F"/>
    <w:rsid w:val="783D53E5"/>
    <w:rsid w:val="79D950CD"/>
    <w:rsid w:val="7A4F8DE0"/>
    <w:rsid w:val="7FF603E8"/>
    <w:rsid w:val="7FFEAC1B"/>
    <w:rsid w:val="DBE3539B"/>
    <w:rsid w:val="DFFE7C58"/>
    <w:rsid w:val="E57F14E3"/>
    <w:rsid w:val="F55DCBE1"/>
    <w:rsid w:val="FBFD3CDC"/>
    <w:rsid w:val="FEEB8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2644</Words>
  <Characters>2734</Characters>
  <Lines>0</Lines>
  <Paragraphs>0</Paragraphs>
  <TotalTime>352</TotalTime>
  <ScaleCrop>false</ScaleCrop>
  <LinksUpToDate>false</LinksUpToDate>
  <CharactersWithSpaces>2747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2025-01-18T16:51:00Z</dcterms:created>
  <dc:creator>user</dc:creator>
  <cp:lastModifiedBy>蜜柚</cp:lastModifiedBy>
  <dcterms:modified xsi:type="dcterms:W3CDTF">2026-01-15T08:59:52Z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94A22A919899577DB4BB64693D84C490_43</vt:lpwstr>
  </property>
  <property fmtid="{D5CDD505-2E9C-101B-9397-08002B2CF9AE}" pid="4" name="KSOTemplateDocerSaveRecord">
    <vt:lpwstr>eyJoZGlkIjoiMjUxYzdmOGMxNzg2ZDdhNTE5MTA5Nzk1MDkwMGJkOWUiLCJ1c2VySWQiOiIzMTU3NTE2NDQifQ==</vt:lpwstr>
  </property>
</Properties>
</file>